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AEE04" w14:textId="77777777" w:rsidR="008F1639" w:rsidRDefault="008F1639" w:rsidP="00904EE0">
      <w:pPr>
        <w:pStyle w:val="Title"/>
      </w:pPr>
    </w:p>
    <w:p w14:paraId="3BB68FA1" w14:textId="77777777" w:rsidR="007209BD" w:rsidRPr="00A4747B" w:rsidRDefault="007209BD" w:rsidP="00904EE0">
      <w:pPr>
        <w:pStyle w:val="Title"/>
        <w:rPr>
          <w:color w:val="5103C0" w:themeColor="accent1"/>
        </w:rPr>
      </w:pPr>
    </w:p>
    <w:p w14:paraId="733F65DE" w14:textId="77777777" w:rsidR="00001CA0" w:rsidRDefault="00001CA0">
      <w:pPr>
        <w:pStyle w:val="Subtitle"/>
        <w:rPr>
          <w:kern w:val="2"/>
          <w:lang w:val="en-CA" w:eastAsia="en-CA"/>
          <w14:ligatures w14:val="standardContextual"/>
        </w:rPr>
      </w:pPr>
      <w:r>
        <w:rPr>
          <w:b/>
          <w:bCs/>
          <w:color w:val="5103C0"/>
          <w:spacing w:val="30"/>
          <w:sz w:val="60"/>
          <w:szCs w:val="60"/>
          <w:lang w:val="fr-CA"/>
        </w:rPr>
        <w:t>Rapport d’étape 2026 sur l’accessibilité de Compugen Inc. (deuxième rapport)</w:t>
      </w:r>
    </w:p>
    <w:p w14:paraId="5579DF42" w14:textId="77777777" w:rsidR="0091205E" w:rsidRPr="00DB5E8D" w:rsidRDefault="0091205E" w:rsidP="002F6D74">
      <w:pPr>
        <w:pStyle w:val="Subtitle"/>
        <w:rPr>
          <w:color w:val="5103C0" w:themeColor="accent1"/>
          <w:lang w:val="fr-FR"/>
        </w:rPr>
      </w:pPr>
    </w:p>
    <w:p w14:paraId="0134DA33" w14:textId="77777777" w:rsidR="008F1639" w:rsidRPr="00DB5E8D" w:rsidRDefault="008F1639" w:rsidP="002F6D74">
      <w:pPr>
        <w:pStyle w:val="Subtitle"/>
        <w:rPr>
          <w:color w:val="5103C0" w:themeColor="accent1"/>
          <w:lang w:val="fr-FR"/>
        </w:rPr>
      </w:pPr>
    </w:p>
    <w:p w14:paraId="63A3983D" w14:textId="77777777" w:rsidR="00904EE0" w:rsidRPr="00DB5E8D" w:rsidRDefault="00904EE0" w:rsidP="002F6D74">
      <w:pPr>
        <w:pStyle w:val="Subtitle"/>
        <w:rPr>
          <w:color w:val="5103C0" w:themeColor="accent1"/>
          <w:lang w:val="fr-FR"/>
        </w:rPr>
      </w:pPr>
      <w:r w:rsidRPr="00DB5E8D">
        <w:rPr>
          <w:color w:val="5103C0" w:themeColor="accent1"/>
          <w:lang w:val="fr-FR"/>
        </w:rPr>
        <w:br w:type="page"/>
      </w:r>
    </w:p>
    <w:sdt>
      <w:sdtPr>
        <w:rPr>
          <w:rFonts w:asciiTheme="minorHAnsi" w:eastAsiaTheme="minorHAnsi" w:hAnsiTheme="minorHAnsi" w:cstheme="minorBidi"/>
          <w:color w:val="auto"/>
          <w:sz w:val="22"/>
          <w:szCs w:val="22"/>
        </w:rPr>
        <w:id w:val="1217093935"/>
        <w:docPartObj>
          <w:docPartGallery w:val="Table of Contents"/>
          <w:docPartUnique/>
        </w:docPartObj>
      </w:sdtPr>
      <w:sdtEndPr>
        <w:rPr>
          <w:rFonts w:ascii="Times New Roman" w:eastAsia="Times New Roman" w:hAnsi="Times New Roman" w:cs="Times New Roman"/>
          <w:b/>
          <w:bCs/>
          <w:noProof/>
          <w:sz w:val="24"/>
          <w:szCs w:val="24"/>
        </w:rPr>
      </w:sdtEndPr>
      <w:sdtContent>
        <w:p w14:paraId="6EEBBD7F" w14:textId="77777777" w:rsidR="00DB5E8D" w:rsidRPr="00DB5E8D" w:rsidRDefault="00DB5E8D">
          <w:pPr>
            <w:pStyle w:val="TOCHeading"/>
            <w:rPr>
              <w:kern w:val="2"/>
              <w:szCs w:val="32"/>
              <w:lang w:val="fr-FR" w:eastAsia="en-CA"/>
              <w14:ligatures w14:val="standardContextual"/>
            </w:rPr>
          </w:pPr>
          <w:r>
            <w:rPr>
              <w:lang w:val="fr-CA"/>
            </w:rPr>
            <w:t>Table des matières</w:t>
          </w:r>
        </w:p>
        <w:p w14:paraId="73EAA5EB" w14:textId="356D0823" w:rsidR="00E121C4" w:rsidRDefault="002F6D74">
          <w:pPr>
            <w:pStyle w:val="TOC2"/>
            <w:tabs>
              <w:tab w:val="right" w:leader="dot" w:pos="9710"/>
            </w:tabs>
            <w:rPr>
              <w:rFonts w:asciiTheme="minorHAnsi" w:eastAsiaTheme="minorEastAsia" w:hAnsiTheme="minorHAnsi" w:cstheme="minorBidi"/>
              <w:b w:val="0"/>
              <w:bCs w:val="0"/>
              <w:noProof/>
              <w:color w:val="auto"/>
              <w:kern w:val="2"/>
              <w:lang w:val="en-CA" w:eastAsia="en-CA"/>
              <w14:ligatures w14:val="standardContextual"/>
            </w:rPr>
          </w:pPr>
          <w:r>
            <w:fldChar w:fldCharType="begin"/>
          </w:r>
          <w:r>
            <w:instrText xml:space="preserve"> TOC \h \z \t "Heading 1,3,Heading 2,4,Heading 3,5,Heading 4,6,Compugen Inc. Title,2,Title,1" </w:instrText>
          </w:r>
          <w:r>
            <w:fldChar w:fldCharType="separate"/>
          </w:r>
          <w:hyperlink w:anchor="_Toc230870739" w:history="1">
            <w:r w:rsidR="00E121C4" w:rsidRPr="00832E63">
              <w:rPr>
                <w:rStyle w:val="Hyperlink"/>
                <w:noProof/>
                <w:lang w:val="en-CA"/>
              </w:rPr>
              <w:t>Rapport d’étape sur l’accessibilité</w:t>
            </w:r>
            <w:r w:rsidR="00E121C4">
              <w:rPr>
                <w:noProof/>
                <w:webHidden/>
              </w:rPr>
              <w:tab/>
            </w:r>
            <w:r w:rsidR="00E121C4">
              <w:rPr>
                <w:noProof/>
                <w:webHidden/>
              </w:rPr>
              <w:fldChar w:fldCharType="begin"/>
            </w:r>
            <w:r w:rsidR="00E121C4">
              <w:rPr>
                <w:noProof/>
                <w:webHidden/>
              </w:rPr>
              <w:instrText xml:space="preserve"> PAGEREF _Toc230870739 \h </w:instrText>
            </w:r>
            <w:r w:rsidR="00E121C4">
              <w:rPr>
                <w:noProof/>
                <w:webHidden/>
              </w:rPr>
            </w:r>
            <w:r w:rsidR="00E121C4">
              <w:rPr>
                <w:noProof/>
                <w:webHidden/>
              </w:rPr>
              <w:fldChar w:fldCharType="separate"/>
            </w:r>
            <w:r w:rsidR="00E121C4">
              <w:rPr>
                <w:noProof/>
                <w:webHidden/>
              </w:rPr>
              <w:t>3</w:t>
            </w:r>
            <w:r w:rsidR="00E121C4">
              <w:rPr>
                <w:noProof/>
                <w:webHidden/>
              </w:rPr>
              <w:fldChar w:fldCharType="end"/>
            </w:r>
          </w:hyperlink>
        </w:p>
        <w:p w14:paraId="0BEC30BE" w14:textId="05C5E76E" w:rsidR="00E121C4" w:rsidRDefault="00E121C4">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0" w:history="1">
            <w:r w:rsidRPr="00832E63">
              <w:rPr>
                <w:rStyle w:val="Hyperlink"/>
                <w:noProof/>
                <w:lang w:val="en-CA"/>
              </w:rPr>
              <w:t>Généralités</w:t>
            </w:r>
            <w:r>
              <w:rPr>
                <w:noProof/>
                <w:webHidden/>
              </w:rPr>
              <w:tab/>
            </w:r>
            <w:r>
              <w:rPr>
                <w:noProof/>
                <w:webHidden/>
              </w:rPr>
              <w:fldChar w:fldCharType="begin"/>
            </w:r>
            <w:r>
              <w:rPr>
                <w:noProof/>
                <w:webHidden/>
              </w:rPr>
              <w:instrText xml:space="preserve"> PAGEREF _Toc230870740 \h </w:instrText>
            </w:r>
            <w:r>
              <w:rPr>
                <w:noProof/>
                <w:webHidden/>
              </w:rPr>
            </w:r>
            <w:r>
              <w:rPr>
                <w:noProof/>
                <w:webHidden/>
              </w:rPr>
              <w:fldChar w:fldCharType="separate"/>
            </w:r>
            <w:r>
              <w:rPr>
                <w:noProof/>
                <w:webHidden/>
              </w:rPr>
              <w:t>3</w:t>
            </w:r>
            <w:r>
              <w:rPr>
                <w:noProof/>
                <w:webHidden/>
              </w:rPr>
              <w:fldChar w:fldCharType="end"/>
            </w:r>
          </w:hyperlink>
        </w:p>
        <w:p w14:paraId="7F16B2F9" w14:textId="489055FC"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1" w:history="1">
            <w:r w:rsidRPr="00832E63">
              <w:rPr>
                <w:rStyle w:val="Hyperlink"/>
                <w:noProof/>
                <w:lang w:val="en-CA"/>
              </w:rPr>
              <w:t>Rétroaction sur l’accessibilité</w:t>
            </w:r>
            <w:r>
              <w:rPr>
                <w:noProof/>
                <w:webHidden/>
              </w:rPr>
              <w:tab/>
            </w:r>
            <w:r>
              <w:rPr>
                <w:noProof/>
                <w:webHidden/>
              </w:rPr>
              <w:fldChar w:fldCharType="begin"/>
            </w:r>
            <w:r>
              <w:rPr>
                <w:noProof/>
                <w:webHidden/>
              </w:rPr>
              <w:instrText xml:space="preserve"> PAGEREF _Toc230870741 \h </w:instrText>
            </w:r>
            <w:r>
              <w:rPr>
                <w:noProof/>
                <w:webHidden/>
              </w:rPr>
            </w:r>
            <w:r>
              <w:rPr>
                <w:noProof/>
                <w:webHidden/>
              </w:rPr>
              <w:fldChar w:fldCharType="separate"/>
            </w:r>
            <w:r>
              <w:rPr>
                <w:noProof/>
                <w:webHidden/>
              </w:rPr>
              <w:t>3</w:t>
            </w:r>
            <w:r>
              <w:rPr>
                <w:noProof/>
                <w:webHidden/>
              </w:rPr>
              <w:fldChar w:fldCharType="end"/>
            </w:r>
          </w:hyperlink>
        </w:p>
        <w:p w14:paraId="24DD0560" w14:textId="753372DD" w:rsidR="00E121C4" w:rsidRDefault="00E121C4">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2" w:history="1">
            <w:r w:rsidRPr="00832E63">
              <w:rPr>
                <w:rStyle w:val="Hyperlink"/>
                <w:noProof/>
                <w:lang w:val="fr-CA"/>
              </w:rPr>
              <w:t>Politiques, programmes, pratiques et services</w:t>
            </w:r>
            <w:r>
              <w:rPr>
                <w:noProof/>
                <w:webHidden/>
              </w:rPr>
              <w:tab/>
            </w:r>
            <w:r>
              <w:rPr>
                <w:noProof/>
                <w:webHidden/>
              </w:rPr>
              <w:fldChar w:fldCharType="begin"/>
            </w:r>
            <w:r>
              <w:rPr>
                <w:noProof/>
                <w:webHidden/>
              </w:rPr>
              <w:instrText xml:space="preserve"> PAGEREF _Toc230870742 \h </w:instrText>
            </w:r>
            <w:r>
              <w:rPr>
                <w:noProof/>
                <w:webHidden/>
              </w:rPr>
            </w:r>
            <w:r>
              <w:rPr>
                <w:noProof/>
                <w:webHidden/>
              </w:rPr>
              <w:fldChar w:fldCharType="separate"/>
            </w:r>
            <w:r>
              <w:rPr>
                <w:noProof/>
                <w:webHidden/>
              </w:rPr>
              <w:t>3</w:t>
            </w:r>
            <w:r>
              <w:rPr>
                <w:noProof/>
                <w:webHidden/>
              </w:rPr>
              <w:fldChar w:fldCharType="end"/>
            </w:r>
          </w:hyperlink>
        </w:p>
        <w:p w14:paraId="4E2404B9" w14:textId="6075E581"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3" w:history="1">
            <w:r w:rsidRPr="00832E63">
              <w:rPr>
                <w:rStyle w:val="Hyperlink"/>
                <w:noProof/>
                <w:lang w:val="en-CA"/>
              </w:rPr>
              <w:t>Emploi</w:t>
            </w:r>
            <w:r>
              <w:rPr>
                <w:noProof/>
                <w:webHidden/>
              </w:rPr>
              <w:tab/>
            </w:r>
            <w:r>
              <w:rPr>
                <w:noProof/>
                <w:webHidden/>
              </w:rPr>
              <w:fldChar w:fldCharType="begin"/>
            </w:r>
            <w:r>
              <w:rPr>
                <w:noProof/>
                <w:webHidden/>
              </w:rPr>
              <w:instrText xml:space="preserve"> PAGEREF _Toc230870743 \h </w:instrText>
            </w:r>
            <w:r>
              <w:rPr>
                <w:noProof/>
                <w:webHidden/>
              </w:rPr>
            </w:r>
            <w:r>
              <w:rPr>
                <w:noProof/>
                <w:webHidden/>
              </w:rPr>
              <w:fldChar w:fldCharType="separate"/>
            </w:r>
            <w:r>
              <w:rPr>
                <w:noProof/>
                <w:webHidden/>
              </w:rPr>
              <w:t>3</w:t>
            </w:r>
            <w:r>
              <w:rPr>
                <w:noProof/>
                <w:webHidden/>
              </w:rPr>
              <w:fldChar w:fldCharType="end"/>
            </w:r>
          </w:hyperlink>
        </w:p>
        <w:p w14:paraId="56D606AC" w14:textId="61EEC44A"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4" w:history="1">
            <w:r w:rsidRPr="00832E63">
              <w:rPr>
                <w:rStyle w:val="Hyperlink"/>
                <w:noProof/>
                <w:lang w:val="fr-CA"/>
              </w:rPr>
              <w:t>Environnement bâti</w:t>
            </w:r>
            <w:r>
              <w:rPr>
                <w:noProof/>
                <w:webHidden/>
              </w:rPr>
              <w:tab/>
            </w:r>
            <w:r>
              <w:rPr>
                <w:noProof/>
                <w:webHidden/>
              </w:rPr>
              <w:fldChar w:fldCharType="begin"/>
            </w:r>
            <w:r>
              <w:rPr>
                <w:noProof/>
                <w:webHidden/>
              </w:rPr>
              <w:instrText xml:space="preserve"> PAGEREF _Toc230870744 \h </w:instrText>
            </w:r>
            <w:r>
              <w:rPr>
                <w:noProof/>
                <w:webHidden/>
              </w:rPr>
            </w:r>
            <w:r>
              <w:rPr>
                <w:noProof/>
                <w:webHidden/>
              </w:rPr>
              <w:fldChar w:fldCharType="separate"/>
            </w:r>
            <w:r>
              <w:rPr>
                <w:noProof/>
                <w:webHidden/>
              </w:rPr>
              <w:t>4</w:t>
            </w:r>
            <w:r>
              <w:rPr>
                <w:noProof/>
                <w:webHidden/>
              </w:rPr>
              <w:fldChar w:fldCharType="end"/>
            </w:r>
          </w:hyperlink>
        </w:p>
        <w:p w14:paraId="6BCAC9AD" w14:textId="6952EB9B"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5" w:history="1">
            <w:r w:rsidRPr="00832E63">
              <w:rPr>
                <w:rStyle w:val="Hyperlink"/>
                <w:noProof/>
                <w:lang w:val="fr-CA"/>
              </w:rPr>
              <w:t>Technologies de l’information et des communications</w:t>
            </w:r>
            <w:r>
              <w:rPr>
                <w:noProof/>
                <w:webHidden/>
              </w:rPr>
              <w:tab/>
            </w:r>
            <w:r>
              <w:rPr>
                <w:noProof/>
                <w:webHidden/>
              </w:rPr>
              <w:fldChar w:fldCharType="begin"/>
            </w:r>
            <w:r>
              <w:rPr>
                <w:noProof/>
                <w:webHidden/>
              </w:rPr>
              <w:instrText xml:space="preserve"> PAGEREF _Toc230870745 \h </w:instrText>
            </w:r>
            <w:r>
              <w:rPr>
                <w:noProof/>
                <w:webHidden/>
              </w:rPr>
            </w:r>
            <w:r>
              <w:rPr>
                <w:noProof/>
                <w:webHidden/>
              </w:rPr>
              <w:fldChar w:fldCharType="separate"/>
            </w:r>
            <w:r>
              <w:rPr>
                <w:noProof/>
                <w:webHidden/>
              </w:rPr>
              <w:t>4</w:t>
            </w:r>
            <w:r>
              <w:rPr>
                <w:noProof/>
                <w:webHidden/>
              </w:rPr>
              <w:fldChar w:fldCharType="end"/>
            </w:r>
          </w:hyperlink>
        </w:p>
        <w:p w14:paraId="5DA7DFD7" w14:textId="1665296E"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6" w:history="1">
            <w:r w:rsidRPr="00832E63">
              <w:rPr>
                <w:rStyle w:val="Hyperlink"/>
                <w:noProof/>
                <w:lang w:val="fr-CA"/>
              </w:rPr>
              <w:t>Communications</w:t>
            </w:r>
            <w:r>
              <w:rPr>
                <w:noProof/>
                <w:webHidden/>
              </w:rPr>
              <w:tab/>
            </w:r>
            <w:r>
              <w:rPr>
                <w:noProof/>
                <w:webHidden/>
              </w:rPr>
              <w:fldChar w:fldCharType="begin"/>
            </w:r>
            <w:r>
              <w:rPr>
                <w:noProof/>
                <w:webHidden/>
              </w:rPr>
              <w:instrText xml:space="preserve"> PAGEREF _Toc230870746 \h </w:instrText>
            </w:r>
            <w:r>
              <w:rPr>
                <w:noProof/>
                <w:webHidden/>
              </w:rPr>
            </w:r>
            <w:r>
              <w:rPr>
                <w:noProof/>
                <w:webHidden/>
              </w:rPr>
              <w:fldChar w:fldCharType="separate"/>
            </w:r>
            <w:r>
              <w:rPr>
                <w:noProof/>
                <w:webHidden/>
              </w:rPr>
              <w:t>5</w:t>
            </w:r>
            <w:r>
              <w:rPr>
                <w:noProof/>
                <w:webHidden/>
              </w:rPr>
              <w:fldChar w:fldCharType="end"/>
            </w:r>
          </w:hyperlink>
        </w:p>
        <w:p w14:paraId="0C432DD3" w14:textId="2521C156"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7" w:history="1">
            <w:r w:rsidRPr="00832E63">
              <w:rPr>
                <w:rStyle w:val="Hyperlink"/>
                <w:noProof/>
                <w:lang w:val="fr-CA"/>
              </w:rPr>
              <w:t>Approvisionnement en biens, services et installations</w:t>
            </w:r>
            <w:r>
              <w:rPr>
                <w:noProof/>
                <w:webHidden/>
              </w:rPr>
              <w:tab/>
            </w:r>
            <w:r>
              <w:rPr>
                <w:noProof/>
                <w:webHidden/>
              </w:rPr>
              <w:fldChar w:fldCharType="begin"/>
            </w:r>
            <w:r>
              <w:rPr>
                <w:noProof/>
                <w:webHidden/>
              </w:rPr>
              <w:instrText xml:space="preserve"> PAGEREF _Toc230870747 \h </w:instrText>
            </w:r>
            <w:r>
              <w:rPr>
                <w:noProof/>
                <w:webHidden/>
              </w:rPr>
            </w:r>
            <w:r>
              <w:rPr>
                <w:noProof/>
                <w:webHidden/>
              </w:rPr>
              <w:fldChar w:fldCharType="separate"/>
            </w:r>
            <w:r>
              <w:rPr>
                <w:noProof/>
                <w:webHidden/>
              </w:rPr>
              <w:t>5</w:t>
            </w:r>
            <w:r>
              <w:rPr>
                <w:noProof/>
                <w:webHidden/>
              </w:rPr>
              <w:fldChar w:fldCharType="end"/>
            </w:r>
          </w:hyperlink>
        </w:p>
        <w:p w14:paraId="0841AEA7" w14:textId="5458ED20"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8" w:history="1">
            <w:r w:rsidRPr="00832E63">
              <w:rPr>
                <w:rStyle w:val="Hyperlink"/>
                <w:noProof/>
                <w:lang w:val="fr-CA"/>
              </w:rPr>
              <w:t>Conception et prestation des programmes et services</w:t>
            </w:r>
            <w:r>
              <w:rPr>
                <w:noProof/>
                <w:webHidden/>
              </w:rPr>
              <w:tab/>
            </w:r>
            <w:r>
              <w:rPr>
                <w:noProof/>
                <w:webHidden/>
              </w:rPr>
              <w:fldChar w:fldCharType="begin"/>
            </w:r>
            <w:r>
              <w:rPr>
                <w:noProof/>
                <w:webHidden/>
              </w:rPr>
              <w:instrText xml:space="preserve"> PAGEREF _Toc230870748 \h </w:instrText>
            </w:r>
            <w:r>
              <w:rPr>
                <w:noProof/>
                <w:webHidden/>
              </w:rPr>
            </w:r>
            <w:r>
              <w:rPr>
                <w:noProof/>
                <w:webHidden/>
              </w:rPr>
              <w:fldChar w:fldCharType="separate"/>
            </w:r>
            <w:r>
              <w:rPr>
                <w:noProof/>
                <w:webHidden/>
              </w:rPr>
              <w:t>5</w:t>
            </w:r>
            <w:r>
              <w:rPr>
                <w:noProof/>
                <w:webHidden/>
              </w:rPr>
              <w:fldChar w:fldCharType="end"/>
            </w:r>
          </w:hyperlink>
        </w:p>
        <w:p w14:paraId="5AD5FC95" w14:textId="41581DD8" w:rsidR="00E121C4" w:rsidRDefault="00E121C4">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49" w:history="1">
            <w:r w:rsidRPr="00832E63">
              <w:rPr>
                <w:rStyle w:val="Hyperlink"/>
                <w:noProof/>
                <w:lang w:val="fr-CA"/>
              </w:rPr>
              <w:t>Transport</w:t>
            </w:r>
            <w:r>
              <w:rPr>
                <w:noProof/>
                <w:webHidden/>
              </w:rPr>
              <w:tab/>
            </w:r>
            <w:r>
              <w:rPr>
                <w:noProof/>
                <w:webHidden/>
              </w:rPr>
              <w:fldChar w:fldCharType="begin"/>
            </w:r>
            <w:r>
              <w:rPr>
                <w:noProof/>
                <w:webHidden/>
              </w:rPr>
              <w:instrText xml:space="preserve"> PAGEREF _Toc230870749 \h </w:instrText>
            </w:r>
            <w:r>
              <w:rPr>
                <w:noProof/>
                <w:webHidden/>
              </w:rPr>
            </w:r>
            <w:r>
              <w:rPr>
                <w:noProof/>
                <w:webHidden/>
              </w:rPr>
              <w:fldChar w:fldCharType="separate"/>
            </w:r>
            <w:r>
              <w:rPr>
                <w:noProof/>
                <w:webHidden/>
              </w:rPr>
              <w:t>5</w:t>
            </w:r>
            <w:r>
              <w:rPr>
                <w:noProof/>
                <w:webHidden/>
              </w:rPr>
              <w:fldChar w:fldCharType="end"/>
            </w:r>
          </w:hyperlink>
        </w:p>
        <w:p w14:paraId="5E47B7A5" w14:textId="2FC9C13C" w:rsidR="00E121C4" w:rsidRDefault="00E121C4">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50" w:history="1">
            <w:r w:rsidRPr="00832E63">
              <w:rPr>
                <w:rStyle w:val="Hyperlink"/>
                <w:noProof/>
                <w:lang w:val="fr-CA"/>
              </w:rPr>
              <w:t>Consultation des personnes en situation de handicap</w:t>
            </w:r>
            <w:r>
              <w:rPr>
                <w:noProof/>
                <w:webHidden/>
              </w:rPr>
              <w:tab/>
            </w:r>
            <w:r>
              <w:rPr>
                <w:noProof/>
                <w:webHidden/>
              </w:rPr>
              <w:fldChar w:fldCharType="begin"/>
            </w:r>
            <w:r>
              <w:rPr>
                <w:noProof/>
                <w:webHidden/>
              </w:rPr>
              <w:instrText xml:space="preserve"> PAGEREF _Toc230870750 \h </w:instrText>
            </w:r>
            <w:r>
              <w:rPr>
                <w:noProof/>
                <w:webHidden/>
              </w:rPr>
            </w:r>
            <w:r>
              <w:rPr>
                <w:noProof/>
                <w:webHidden/>
              </w:rPr>
              <w:fldChar w:fldCharType="separate"/>
            </w:r>
            <w:r>
              <w:rPr>
                <w:noProof/>
                <w:webHidden/>
              </w:rPr>
              <w:t>6</w:t>
            </w:r>
            <w:r>
              <w:rPr>
                <w:noProof/>
                <w:webHidden/>
              </w:rPr>
              <w:fldChar w:fldCharType="end"/>
            </w:r>
          </w:hyperlink>
        </w:p>
        <w:p w14:paraId="005D14C7" w14:textId="25548060" w:rsidR="00E121C4" w:rsidRDefault="00E121C4">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870751" w:history="1">
            <w:r w:rsidRPr="00832E63">
              <w:rPr>
                <w:rStyle w:val="Hyperlink"/>
                <w:noProof/>
                <w:lang w:val="fr-CA"/>
              </w:rPr>
              <w:t>Rétroaction reçue et prise en compte</w:t>
            </w:r>
            <w:r>
              <w:rPr>
                <w:noProof/>
                <w:webHidden/>
              </w:rPr>
              <w:tab/>
            </w:r>
            <w:r>
              <w:rPr>
                <w:noProof/>
                <w:webHidden/>
              </w:rPr>
              <w:fldChar w:fldCharType="begin"/>
            </w:r>
            <w:r>
              <w:rPr>
                <w:noProof/>
                <w:webHidden/>
              </w:rPr>
              <w:instrText xml:space="preserve"> PAGEREF _Toc230870751 \h </w:instrText>
            </w:r>
            <w:r>
              <w:rPr>
                <w:noProof/>
                <w:webHidden/>
              </w:rPr>
            </w:r>
            <w:r>
              <w:rPr>
                <w:noProof/>
                <w:webHidden/>
              </w:rPr>
              <w:fldChar w:fldCharType="separate"/>
            </w:r>
            <w:r>
              <w:rPr>
                <w:noProof/>
                <w:webHidden/>
              </w:rPr>
              <w:t>6</w:t>
            </w:r>
            <w:r>
              <w:rPr>
                <w:noProof/>
                <w:webHidden/>
              </w:rPr>
              <w:fldChar w:fldCharType="end"/>
            </w:r>
          </w:hyperlink>
        </w:p>
        <w:p w14:paraId="40511609" w14:textId="0DF2D5FC" w:rsidR="00904EE0" w:rsidRDefault="002F6D74">
          <w:r>
            <w:rPr>
              <w:rFonts w:ascii="Arial" w:hAnsi="Arial" w:cstheme="minorHAnsi"/>
              <w:i/>
              <w:iCs/>
              <w:color w:val="04D976" w:themeColor="accent2"/>
            </w:rPr>
            <w:fldChar w:fldCharType="end"/>
          </w:r>
        </w:p>
      </w:sdtContent>
    </w:sdt>
    <w:p w14:paraId="01C724D3" w14:textId="77777777" w:rsidR="00904EE0" w:rsidRDefault="00904EE0">
      <w:pPr>
        <w:spacing w:after="200" w:line="276" w:lineRule="auto"/>
        <w:rPr>
          <w:rFonts w:ascii="Arial" w:eastAsiaTheme="majorEastAsia" w:hAnsi="Arial" w:cs="Arial"/>
          <w:b/>
          <w:bCs/>
          <w:color w:val="5103C0" w:themeColor="accent1"/>
          <w:spacing w:val="30"/>
          <w:kern w:val="28"/>
          <w:sz w:val="60"/>
          <w:szCs w:val="60"/>
          <w14:ligatures w14:val="standard"/>
          <w14:numForm w14:val="oldStyle"/>
        </w:rPr>
      </w:pPr>
      <w:r>
        <w:br w:type="page"/>
      </w:r>
    </w:p>
    <w:p w14:paraId="49B255CE" w14:textId="77777777" w:rsidR="00DB5E8D" w:rsidRDefault="00DB5E8D">
      <w:pPr>
        <w:pStyle w:val="CompugenIncTitle"/>
        <w:rPr>
          <w:kern w:val="2"/>
          <w:lang w:val="en-CA" w:eastAsia="en-CA"/>
          <w14:ligatures w14:val="standardContextual"/>
        </w:rPr>
      </w:pPr>
      <w:bookmarkStart w:id="0" w:name="_Toc230870739"/>
      <w:r w:rsidRPr="00DB5E8D">
        <w:rPr>
          <w:lang w:val="en-CA"/>
        </w:rPr>
        <w:lastRenderedPageBreak/>
        <w:t xml:space="preserve">Rapport </w:t>
      </w:r>
      <w:proofErr w:type="spellStart"/>
      <w:r w:rsidRPr="00DB5E8D">
        <w:rPr>
          <w:lang w:val="en-CA"/>
        </w:rPr>
        <w:t>d’étape</w:t>
      </w:r>
      <w:proofErr w:type="spellEnd"/>
      <w:r w:rsidRPr="00DB5E8D">
        <w:rPr>
          <w:lang w:val="en-CA"/>
        </w:rPr>
        <w:t xml:space="preserve"> sur </w:t>
      </w:r>
      <w:proofErr w:type="spellStart"/>
      <w:r w:rsidRPr="00DB5E8D">
        <w:rPr>
          <w:lang w:val="en-CA"/>
        </w:rPr>
        <w:t>l’accessibilité</w:t>
      </w:r>
      <w:bookmarkEnd w:id="0"/>
      <w:proofErr w:type="spellEnd"/>
    </w:p>
    <w:p w14:paraId="266B0A0E" w14:textId="77777777" w:rsidR="00DB5E8D" w:rsidRDefault="00DB5E8D" w:rsidP="00DB5E8D">
      <w:pPr>
        <w:pStyle w:val="Heading1"/>
        <w:rPr>
          <w:kern w:val="36"/>
          <w:szCs w:val="32"/>
          <w:lang w:val="en-CA" w:eastAsia="en-CA"/>
          <w14:ligatures w14:val="standardContextual"/>
        </w:rPr>
      </w:pPr>
      <w:bookmarkStart w:id="1" w:name="_Toc230870740"/>
      <w:proofErr w:type="spellStart"/>
      <w:r w:rsidRPr="00DB5E8D">
        <w:rPr>
          <w:lang w:val="en-CA"/>
        </w:rPr>
        <w:t>Généralités</w:t>
      </w:r>
      <w:bookmarkEnd w:id="1"/>
      <w:proofErr w:type="spellEnd"/>
    </w:p>
    <w:p w14:paraId="605A16C2"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color w:val="000000"/>
          <w:sz w:val="22"/>
          <w:szCs w:val="22"/>
          <w:lang w:val="fr-CA"/>
        </w:rPr>
        <w:t>Pour obtenir une copie du plan d’accessibilité de Compugen, du présent rapport d’étape ou de la description du processus de rétroaction dans un autre format (comme PDF, Word ou gros caractères), ou pour nous faire part de vos commentaires, veuillez communiquer avec :</w:t>
      </w:r>
    </w:p>
    <w:p w14:paraId="3C135CE1" w14:textId="77777777" w:rsidR="00C937AD" w:rsidRPr="00DB5E8D" w:rsidRDefault="00C937AD" w:rsidP="00C937AD">
      <w:pPr>
        <w:shd w:val="clear" w:color="auto" w:fill="FFFFFF"/>
        <w:rPr>
          <w:rFonts w:ascii="Arial" w:hAnsi="Arial"/>
          <w:sz w:val="22"/>
          <w:szCs w:val="22"/>
          <w:lang w:val="fr-FR"/>
        </w:rPr>
      </w:pPr>
    </w:p>
    <w:p w14:paraId="5F7A663A" w14:textId="77777777" w:rsidR="00DB5E8D" w:rsidRDefault="00DB5E8D" w:rsidP="00DB5E8D">
      <w:pPr>
        <w:pStyle w:val="ListParagraph"/>
        <w:numPr>
          <w:ilvl w:val="0"/>
          <w:numId w:val="5"/>
        </w:numPr>
        <w:shd w:val="clear" w:color="auto" w:fill="FFFFFF"/>
        <w:rPr>
          <w:kern w:val="2"/>
          <w:lang w:val="en-CA" w:eastAsia="en-CA"/>
          <w14:ligatures w14:val="standardContextual"/>
        </w:rPr>
      </w:pPr>
      <w:r>
        <w:rPr>
          <w:b/>
          <w:bCs/>
          <w:sz w:val="22"/>
          <w:szCs w:val="22"/>
          <w:lang w:val="fr-CA"/>
        </w:rPr>
        <w:t>Personne désignée :</w:t>
      </w:r>
      <w:r>
        <w:rPr>
          <w:sz w:val="22"/>
          <w:szCs w:val="22"/>
          <w:lang w:val="fr-CA"/>
        </w:rPr>
        <w:t xml:space="preserve"> Tony Chow</w:t>
      </w:r>
    </w:p>
    <w:p w14:paraId="75B0B5E7" w14:textId="77777777" w:rsidR="00DB5E8D" w:rsidRPr="00DB5E8D" w:rsidRDefault="00DB5E8D" w:rsidP="00DB5E8D">
      <w:pPr>
        <w:pStyle w:val="ListParagraph"/>
        <w:numPr>
          <w:ilvl w:val="0"/>
          <w:numId w:val="5"/>
        </w:numPr>
        <w:shd w:val="clear" w:color="auto" w:fill="FFFFFF"/>
        <w:rPr>
          <w:lang w:val="fr-FR"/>
        </w:rPr>
      </w:pPr>
      <w:r>
        <w:rPr>
          <w:b/>
          <w:bCs/>
          <w:sz w:val="22"/>
          <w:szCs w:val="22"/>
          <w:lang w:val="fr-CA"/>
        </w:rPr>
        <w:t>Titre :</w:t>
      </w:r>
      <w:r>
        <w:rPr>
          <w:sz w:val="22"/>
          <w:szCs w:val="22"/>
          <w:lang w:val="fr-CA"/>
        </w:rPr>
        <w:t xml:space="preserve"> Gestionnaire, Opérations, Personnes et culture (RH)</w:t>
      </w:r>
    </w:p>
    <w:p w14:paraId="173F6245" w14:textId="77777777" w:rsidR="00DB5E8D" w:rsidRDefault="00DB5E8D" w:rsidP="00DB5E8D">
      <w:pPr>
        <w:pStyle w:val="ListParagraph"/>
        <w:numPr>
          <w:ilvl w:val="0"/>
          <w:numId w:val="5"/>
        </w:numPr>
        <w:shd w:val="clear" w:color="auto" w:fill="FFFFFF"/>
      </w:pPr>
      <w:r>
        <w:rPr>
          <w:b/>
          <w:bCs/>
          <w:sz w:val="22"/>
          <w:szCs w:val="22"/>
          <w:lang w:val="fr-CA"/>
        </w:rPr>
        <w:t>Courriel :</w:t>
      </w:r>
      <w:hyperlink r:id="rId11" w:history="1">
        <w:r>
          <w:rPr>
            <w:rStyle w:val="Hyperlink"/>
            <w:sz w:val="22"/>
            <w:szCs w:val="22"/>
            <w:lang w:val="fr-CA"/>
          </w:rPr>
          <w:t>pc@compugen.com</w:t>
        </w:r>
      </w:hyperlink>
    </w:p>
    <w:p w14:paraId="75A9B493" w14:textId="77777777" w:rsidR="00DB5E8D" w:rsidRDefault="00DB5E8D" w:rsidP="00DB5E8D">
      <w:pPr>
        <w:pStyle w:val="ListParagraph"/>
        <w:numPr>
          <w:ilvl w:val="0"/>
          <w:numId w:val="5"/>
        </w:numPr>
        <w:shd w:val="clear" w:color="auto" w:fill="FFFFFF"/>
      </w:pPr>
      <w:r>
        <w:rPr>
          <w:b/>
          <w:bCs/>
          <w:sz w:val="22"/>
          <w:szCs w:val="22"/>
          <w:lang w:val="fr-CA"/>
        </w:rPr>
        <w:t>Numéro de téléphone :</w:t>
      </w:r>
      <w:r>
        <w:rPr>
          <w:sz w:val="22"/>
          <w:szCs w:val="22"/>
          <w:lang w:val="fr-CA"/>
        </w:rPr>
        <w:t xml:space="preserve"> 1-800-350-7404</w:t>
      </w:r>
    </w:p>
    <w:p w14:paraId="0A815E7F" w14:textId="77777777" w:rsidR="00DB5E8D" w:rsidRDefault="00DB5E8D" w:rsidP="00DB5E8D">
      <w:pPr>
        <w:pStyle w:val="ListParagraph"/>
        <w:numPr>
          <w:ilvl w:val="0"/>
          <w:numId w:val="5"/>
        </w:numPr>
        <w:shd w:val="clear" w:color="auto" w:fill="FFFFFF"/>
      </w:pPr>
      <w:proofErr w:type="spellStart"/>
      <w:r w:rsidRPr="00DB5E8D">
        <w:rPr>
          <w:b/>
          <w:bCs/>
          <w:sz w:val="22"/>
          <w:szCs w:val="22"/>
          <w:lang w:val="en-CA"/>
        </w:rPr>
        <w:t>Adresse</w:t>
      </w:r>
      <w:proofErr w:type="spellEnd"/>
      <w:r w:rsidRPr="00DB5E8D">
        <w:rPr>
          <w:b/>
          <w:bCs/>
          <w:sz w:val="22"/>
          <w:szCs w:val="22"/>
          <w:lang w:val="en-CA"/>
        </w:rPr>
        <w:t xml:space="preserve"> </w:t>
      </w:r>
      <w:proofErr w:type="spellStart"/>
      <w:proofErr w:type="gramStart"/>
      <w:r w:rsidRPr="00DB5E8D">
        <w:rPr>
          <w:b/>
          <w:bCs/>
          <w:sz w:val="22"/>
          <w:szCs w:val="22"/>
          <w:lang w:val="en-CA"/>
        </w:rPr>
        <w:t>postale</w:t>
      </w:r>
      <w:proofErr w:type="spellEnd"/>
      <w:r w:rsidRPr="00DB5E8D">
        <w:rPr>
          <w:b/>
          <w:bCs/>
          <w:sz w:val="22"/>
          <w:szCs w:val="22"/>
          <w:lang w:val="en-CA"/>
        </w:rPr>
        <w:t xml:space="preserve"> :</w:t>
      </w:r>
      <w:proofErr w:type="gramEnd"/>
      <w:r w:rsidRPr="00DB5E8D">
        <w:rPr>
          <w:sz w:val="22"/>
          <w:szCs w:val="22"/>
          <w:lang w:val="en-CA"/>
        </w:rPr>
        <w:t xml:space="preserve"> Tony Chow, a/s </w:t>
      </w:r>
      <w:proofErr w:type="spellStart"/>
      <w:r w:rsidRPr="00DB5E8D">
        <w:rPr>
          <w:sz w:val="22"/>
          <w:szCs w:val="22"/>
          <w:lang w:val="en-CA"/>
        </w:rPr>
        <w:t>Personnes</w:t>
      </w:r>
      <w:proofErr w:type="spellEnd"/>
      <w:r w:rsidRPr="00DB5E8D">
        <w:rPr>
          <w:sz w:val="22"/>
          <w:szCs w:val="22"/>
          <w:lang w:val="en-CA"/>
        </w:rPr>
        <w:t xml:space="preserve"> et culture, Compugen Inc., 100 Via Renzo Drive, Richmond Hill (Ontario) L4S 0B8</w:t>
      </w:r>
    </w:p>
    <w:p w14:paraId="1E48E65E" w14:textId="77777777" w:rsidR="00AE2F82" w:rsidRPr="00AE2F82" w:rsidRDefault="00AE2F82" w:rsidP="00AE2F82">
      <w:pPr>
        <w:pStyle w:val="ListParagraph"/>
        <w:numPr>
          <w:ilvl w:val="0"/>
          <w:numId w:val="5"/>
        </w:numPr>
        <w:shd w:val="clear" w:color="auto" w:fill="FFFFFF"/>
        <w:rPr>
          <w:lang w:val="fr-FR"/>
        </w:rPr>
      </w:pPr>
      <w:r>
        <w:rPr>
          <w:b/>
          <w:bCs/>
          <w:sz w:val="22"/>
          <w:szCs w:val="22"/>
          <w:lang w:val="fr-CA"/>
        </w:rPr>
        <w:t>Formulaire de contact Web :</w:t>
      </w:r>
      <w:r>
        <w:rPr>
          <w:sz w:val="22"/>
          <w:szCs w:val="22"/>
          <w:lang w:val="fr-CA"/>
        </w:rPr>
        <w:t xml:space="preserve"> compugen.com/</w:t>
      </w:r>
      <w:proofErr w:type="spellStart"/>
      <w:r>
        <w:rPr>
          <w:sz w:val="22"/>
          <w:szCs w:val="22"/>
          <w:lang w:val="fr-CA"/>
        </w:rPr>
        <w:t>en-ca</w:t>
      </w:r>
      <w:proofErr w:type="spellEnd"/>
      <w:r>
        <w:rPr>
          <w:sz w:val="22"/>
          <w:szCs w:val="22"/>
          <w:lang w:val="fr-CA"/>
        </w:rPr>
        <w:t>/contact</w:t>
      </w:r>
    </w:p>
    <w:p w14:paraId="12B21413" w14:textId="77777777" w:rsidR="00F83167" w:rsidRPr="00DB5E8D" w:rsidRDefault="00F83167" w:rsidP="00F83167">
      <w:pPr>
        <w:pStyle w:val="Body"/>
        <w:rPr>
          <w:sz w:val="22"/>
          <w:szCs w:val="22"/>
          <w:lang w:val="fr-FR"/>
        </w:rPr>
      </w:pPr>
    </w:p>
    <w:p w14:paraId="7E458CAB" w14:textId="77777777" w:rsidR="00DB5E8D" w:rsidRDefault="00DB5E8D" w:rsidP="00DB5E8D">
      <w:pPr>
        <w:pStyle w:val="Heading2"/>
        <w:rPr>
          <w:kern w:val="2"/>
          <w:szCs w:val="28"/>
          <w:lang w:val="en-CA" w:eastAsia="en-CA"/>
          <w14:ligatures w14:val="standardContextual"/>
        </w:rPr>
      </w:pPr>
      <w:bookmarkStart w:id="2" w:name="_Toc230870741"/>
      <w:proofErr w:type="spellStart"/>
      <w:r w:rsidRPr="00DB5E8D">
        <w:rPr>
          <w:lang w:val="en-CA"/>
        </w:rPr>
        <w:t>Rétroaction</w:t>
      </w:r>
      <w:proofErr w:type="spellEnd"/>
      <w:r w:rsidRPr="00DB5E8D">
        <w:rPr>
          <w:lang w:val="en-CA"/>
        </w:rPr>
        <w:t xml:space="preserve"> sur </w:t>
      </w:r>
      <w:proofErr w:type="spellStart"/>
      <w:r w:rsidRPr="00DB5E8D">
        <w:rPr>
          <w:lang w:val="en-CA"/>
        </w:rPr>
        <w:t>l’accessibilité</w:t>
      </w:r>
      <w:bookmarkEnd w:id="2"/>
      <w:proofErr w:type="spellEnd"/>
    </w:p>
    <w:p w14:paraId="39B242BE" w14:textId="77777777" w:rsidR="00001CA0" w:rsidRPr="00001CA0" w:rsidRDefault="00001CA0">
      <w:pPr>
        <w:pStyle w:val="Body"/>
        <w:rPr>
          <w:kern w:val="2"/>
          <w:szCs w:val="24"/>
          <w:lang w:val="fr-FR" w:eastAsia="en-CA"/>
          <w14:ligatures w14:val="standardContextual"/>
        </w:rPr>
      </w:pPr>
      <w:r>
        <w:rPr>
          <w:sz w:val="22"/>
          <w:szCs w:val="22"/>
          <w:lang w:val="fr-CA"/>
        </w:rPr>
        <w:t>Si vous rencontrez un obstacle à l’accessibilité dans vos interactions avec Compugen Inc., ou si vous souhaitez nous transmettre des commentaires sur la mise en œuvre de notre plan d’accessibilité, veuillez communiquer avec nous au moyen de l’une des méthodes indiquées ci-dessus.</w:t>
      </w:r>
    </w:p>
    <w:p w14:paraId="018CC7BD" w14:textId="77777777" w:rsidR="00F83167" w:rsidRPr="00DB5E8D" w:rsidRDefault="00F83167" w:rsidP="00F83167">
      <w:pPr>
        <w:rPr>
          <w:rFonts w:eastAsiaTheme="minorHAnsi"/>
          <w:lang w:val="fr-FR"/>
        </w:rPr>
      </w:pPr>
    </w:p>
    <w:p w14:paraId="65592796" w14:textId="77777777" w:rsidR="00DB5E8D" w:rsidRPr="00DB5E8D" w:rsidRDefault="00DB5E8D" w:rsidP="00DB5E8D">
      <w:pPr>
        <w:pStyle w:val="Heading1"/>
        <w:rPr>
          <w:kern w:val="36"/>
          <w:szCs w:val="32"/>
          <w:lang w:val="fr-FR" w:eastAsia="en-CA"/>
          <w14:ligatures w14:val="standardContextual"/>
        </w:rPr>
      </w:pPr>
      <w:bookmarkStart w:id="3" w:name="_Toc230870742"/>
      <w:r>
        <w:rPr>
          <w:lang w:val="fr-CA"/>
        </w:rPr>
        <w:t>Politiques, programmes, pratiques et services</w:t>
      </w:r>
      <w:bookmarkEnd w:id="3"/>
    </w:p>
    <w:p w14:paraId="252F7A81" w14:textId="77777777" w:rsidR="00DB5E8D" w:rsidRDefault="00DB5E8D" w:rsidP="00DB5E8D">
      <w:pPr>
        <w:pStyle w:val="Heading2"/>
        <w:rPr>
          <w:kern w:val="2"/>
          <w:szCs w:val="28"/>
          <w:lang w:val="en-CA" w:eastAsia="en-CA"/>
          <w14:ligatures w14:val="standardContextual"/>
        </w:rPr>
      </w:pPr>
      <w:bookmarkStart w:id="4" w:name="_Toc230870743"/>
      <w:r w:rsidRPr="00DB5E8D">
        <w:rPr>
          <w:lang w:val="en-CA"/>
        </w:rPr>
        <w:t>Emploi</w:t>
      </w:r>
      <w:bookmarkEnd w:id="4"/>
    </w:p>
    <w:p w14:paraId="14D01719" w14:textId="77777777" w:rsidR="00001CA0" w:rsidRPr="00001CA0" w:rsidRDefault="00001CA0">
      <w:pPr>
        <w:pStyle w:val="Body"/>
        <w:rPr>
          <w:kern w:val="2"/>
          <w:szCs w:val="24"/>
          <w:lang w:val="fr-FR" w:eastAsia="en-CA"/>
          <w14:ligatures w14:val="standardContextual"/>
        </w:rPr>
      </w:pPr>
      <w:r>
        <w:rPr>
          <w:sz w:val="22"/>
          <w:szCs w:val="22"/>
          <w:lang w:val="fr-CA"/>
        </w:rPr>
        <w:t>Pendant la période visée par le présent rapport, nous avons mis en œuvre les mesures suivantes en matière d’emploi pour cerner et éliminer les obstacles, et pour aider à prévenir l’apparition de nouveaux obstacles.</w:t>
      </w:r>
    </w:p>
    <w:p w14:paraId="1E41DC1A" w14:textId="77777777" w:rsidR="00A1505A" w:rsidRPr="00DB5E8D" w:rsidRDefault="00A1505A" w:rsidP="00835CBB">
      <w:pPr>
        <w:pStyle w:val="Body"/>
        <w:rPr>
          <w:rFonts w:eastAsiaTheme="minorHAnsi" w:cstheme="minorBidi"/>
          <w:sz w:val="22"/>
          <w:szCs w:val="22"/>
          <w:lang w:val="fr-FR"/>
        </w:rPr>
      </w:pPr>
    </w:p>
    <w:p w14:paraId="0D2EB596" w14:textId="77777777" w:rsidR="00001CA0" w:rsidRPr="00001CA0" w:rsidRDefault="00001CA0">
      <w:pPr>
        <w:pStyle w:val="Body"/>
        <w:rPr>
          <w:kern w:val="2"/>
          <w:szCs w:val="24"/>
          <w:lang w:val="fr-FR" w:eastAsia="en-CA"/>
          <w14:ligatures w14:val="standardContextual"/>
        </w:rPr>
      </w:pPr>
      <w:r>
        <w:rPr>
          <w:b/>
          <w:bCs/>
          <w:sz w:val="22"/>
          <w:szCs w:val="22"/>
          <w:lang w:val="fr-CA"/>
        </w:rPr>
        <w:t>Formation obligatoire sur l’accessibilité pour les nouvelles recrues :</w:t>
      </w:r>
      <w:r>
        <w:rPr>
          <w:sz w:val="22"/>
          <w:szCs w:val="22"/>
          <w:lang w:val="fr-CA"/>
        </w:rPr>
        <w:t xml:space="preserve"> Toutes les nouvelles recrues doivent désormais suivre une formation sur l’accessibilité dans les 60 premiers jours de </w:t>
      </w:r>
      <w:proofErr w:type="gramStart"/>
      <w:r>
        <w:rPr>
          <w:sz w:val="22"/>
          <w:szCs w:val="22"/>
          <w:lang w:val="fr-CA"/>
        </w:rPr>
        <w:lastRenderedPageBreak/>
        <w:t>leur</w:t>
      </w:r>
      <w:proofErr w:type="gramEnd"/>
      <w:r>
        <w:rPr>
          <w:sz w:val="22"/>
          <w:szCs w:val="22"/>
          <w:lang w:val="fr-CA"/>
        </w:rPr>
        <w:t xml:space="preserve"> emploi. Cette mesure aide à faire connaître dès le départ les exigences en matière d’accessibilité et les pratiques inclusives.</w:t>
      </w:r>
    </w:p>
    <w:p w14:paraId="11A609A2" w14:textId="77777777" w:rsidR="00A1505A" w:rsidRPr="00DB5E8D" w:rsidRDefault="00A1505A" w:rsidP="00835CBB">
      <w:pPr>
        <w:pStyle w:val="Body"/>
        <w:rPr>
          <w:rFonts w:eastAsiaTheme="minorHAnsi" w:cstheme="minorBidi"/>
          <w:sz w:val="22"/>
          <w:szCs w:val="22"/>
          <w:lang w:val="fr-FR"/>
        </w:rPr>
      </w:pPr>
    </w:p>
    <w:p w14:paraId="6302B614" w14:textId="77777777" w:rsidR="00001CA0" w:rsidRPr="00001CA0" w:rsidRDefault="00001CA0">
      <w:pPr>
        <w:pStyle w:val="Body"/>
        <w:rPr>
          <w:kern w:val="2"/>
          <w:szCs w:val="24"/>
          <w:lang w:val="fr-FR" w:eastAsia="en-CA"/>
          <w14:ligatures w14:val="standardContextual"/>
        </w:rPr>
      </w:pPr>
      <w:r>
        <w:rPr>
          <w:b/>
          <w:bCs/>
          <w:sz w:val="22"/>
          <w:szCs w:val="22"/>
          <w:lang w:val="fr-CA"/>
        </w:rPr>
        <w:t>Communications de recrutement accessibles :</w:t>
      </w:r>
      <w:r>
        <w:rPr>
          <w:sz w:val="22"/>
          <w:szCs w:val="22"/>
          <w:lang w:val="fr-CA"/>
        </w:rPr>
        <w:t xml:space="preserve"> Nous avons ajouté un avis sur l’accessibilité à nos portails carrières, internes et externes, et inclus de l’information sur notre processus d’adaptation dans toutes les offres d’emploi. Ces mises à jour aident les candidates et candidats à savoir que des mesures d’adaptation sont offertes pendant le recrutement et expliquent comment obtenir du soutien au besoin.</w:t>
      </w:r>
    </w:p>
    <w:p w14:paraId="3BFF7C70" w14:textId="0183BA1B" w:rsidR="00835CBB" w:rsidRPr="00893DDA" w:rsidRDefault="00835CBB" w:rsidP="00835CBB">
      <w:pPr>
        <w:pStyle w:val="Body"/>
        <w:rPr>
          <w:rFonts w:eastAsiaTheme="minorHAnsi" w:cstheme="minorBidi"/>
          <w:sz w:val="22"/>
          <w:szCs w:val="22"/>
          <w:lang w:val="fr-FR"/>
        </w:rPr>
      </w:pPr>
      <w:r w:rsidRPr="00893DDA">
        <w:rPr>
          <w:rFonts w:eastAsiaTheme="minorHAnsi" w:cstheme="minorBidi"/>
          <w:sz w:val="22"/>
          <w:szCs w:val="22"/>
          <w:lang w:val="fr-FR"/>
        </w:rPr>
        <w:t xml:space="preserve"> </w:t>
      </w:r>
    </w:p>
    <w:p w14:paraId="65BE9246" w14:textId="77777777" w:rsidR="00001CA0" w:rsidRPr="00001CA0" w:rsidRDefault="00001CA0">
      <w:pPr>
        <w:pStyle w:val="Body"/>
        <w:rPr>
          <w:kern w:val="2"/>
          <w:szCs w:val="24"/>
          <w:lang w:val="fr-FR" w:eastAsia="en-CA"/>
          <w14:ligatures w14:val="standardContextual"/>
        </w:rPr>
      </w:pPr>
      <w:r>
        <w:rPr>
          <w:b/>
          <w:bCs/>
          <w:sz w:val="22"/>
          <w:szCs w:val="22"/>
          <w:lang w:val="fr-CA"/>
        </w:rPr>
        <w:t>Énoncé d’équité en matière d’emploi mis à jour :</w:t>
      </w:r>
      <w:r>
        <w:rPr>
          <w:sz w:val="22"/>
          <w:szCs w:val="22"/>
          <w:lang w:val="fr-CA"/>
        </w:rPr>
        <w:t xml:space="preserve"> Nous avons révisé notre énoncé d’équité en matière d’emploi afin d’encourager plus clairement les candidatures de personnes en situation de handicap. Ce changement appuie une approche de recrutement plus inclusive et renforce notre engagement à réduire les obstacles à l’embauche.</w:t>
      </w:r>
    </w:p>
    <w:p w14:paraId="3F5B3596" w14:textId="77777777" w:rsidR="006A66A0" w:rsidRPr="00893DDA" w:rsidRDefault="006A66A0" w:rsidP="00F83167">
      <w:pPr>
        <w:pStyle w:val="Body"/>
        <w:rPr>
          <w:rFonts w:eastAsiaTheme="minorHAnsi" w:cstheme="minorBidi"/>
          <w:sz w:val="22"/>
          <w:szCs w:val="22"/>
          <w:lang w:val="fr-FR"/>
        </w:rPr>
      </w:pPr>
    </w:p>
    <w:p w14:paraId="356DE5D4" w14:textId="77777777" w:rsidR="00F83167" w:rsidRPr="00893DDA" w:rsidRDefault="00F83167" w:rsidP="00F83167">
      <w:pPr>
        <w:rPr>
          <w:rFonts w:eastAsiaTheme="minorHAnsi"/>
          <w:lang w:val="fr-FR"/>
        </w:rPr>
      </w:pPr>
    </w:p>
    <w:p w14:paraId="0554C26C" w14:textId="77777777" w:rsidR="00893DDA" w:rsidRPr="00893DDA" w:rsidRDefault="00893DDA" w:rsidP="00893DDA">
      <w:pPr>
        <w:pStyle w:val="Heading2"/>
        <w:rPr>
          <w:kern w:val="2"/>
          <w:szCs w:val="28"/>
          <w:lang w:val="fr-FR" w:eastAsia="en-CA"/>
          <w14:ligatures w14:val="standardContextual"/>
        </w:rPr>
      </w:pPr>
      <w:bookmarkStart w:id="5" w:name="_Toc230870744"/>
      <w:r>
        <w:rPr>
          <w:lang w:val="fr-CA"/>
        </w:rPr>
        <w:t>Environnement bâti</w:t>
      </w:r>
      <w:bookmarkEnd w:id="5"/>
    </w:p>
    <w:p w14:paraId="25609D49" w14:textId="77777777" w:rsidR="00834797" w:rsidRPr="00893DDA" w:rsidRDefault="00834797" w:rsidP="00834797">
      <w:pPr>
        <w:rPr>
          <w:lang w:val="fr-FR"/>
        </w:rPr>
      </w:pPr>
    </w:p>
    <w:p w14:paraId="1AC1C518" w14:textId="77777777" w:rsidR="00001CA0" w:rsidRPr="00001CA0" w:rsidRDefault="00001CA0">
      <w:pPr>
        <w:rPr>
          <w:kern w:val="2"/>
          <w:lang w:val="fr-FR" w:eastAsia="en-CA"/>
          <w14:ligatures w14:val="standardContextual"/>
        </w:rPr>
      </w:pPr>
      <w:r>
        <w:rPr>
          <w:rFonts w:ascii="Arial" w:hAnsi="Arial" w:cs="Arial"/>
          <w:b/>
          <w:bCs/>
          <w:color w:val="111111"/>
          <w:sz w:val="22"/>
          <w:szCs w:val="22"/>
          <w:lang w:val="fr-CA"/>
        </w:rPr>
        <w:t>État actuel :</w:t>
      </w:r>
      <w:r>
        <w:rPr>
          <w:rFonts w:ascii="Arial" w:hAnsi="Arial" w:cs="Arial"/>
          <w:color w:val="111111"/>
          <w:sz w:val="22"/>
          <w:szCs w:val="22"/>
          <w:lang w:val="fr-CA"/>
        </w:rPr>
        <w:t xml:space="preserve"> Aucune nouvelle mesure d’accessibilité liée à l’environnement bâti n’a été mise en place pendant la période visée par le présent rapport. Compugen a continué de surveiller l’accessibilité en milieu de travail et tiendra compte des besoins d’accessibilité lors de futurs changements de bureaux, projets de rénovation et activités d’aménagement.</w:t>
      </w:r>
    </w:p>
    <w:p w14:paraId="790683F9" w14:textId="77777777" w:rsidR="00B20B82" w:rsidRPr="00893DDA" w:rsidRDefault="00B20B82">
      <w:pPr>
        <w:rPr>
          <w:kern w:val="2"/>
          <w:lang w:val="fr-FR" w:eastAsia="en-CA"/>
          <w14:ligatures w14:val="standardContextual"/>
        </w:rPr>
      </w:pPr>
    </w:p>
    <w:p w14:paraId="47BA444F" w14:textId="77777777" w:rsidR="00001CA0" w:rsidRPr="00001CA0" w:rsidRDefault="00001CA0">
      <w:pPr>
        <w:rPr>
          <w:kern w:val="2"/>
          <w:lang w:val="fr-FR" w:eastAsia="en-CA"/>
          <w14:ligatures w14:val="standardContextual"/>
        </w:rPr>
      </w:pPr>
      <w:r>
        <w:rPr>
          <w:rFonts w:ascii="Arial" w:hAnsi="Arial" w:cs="Arial"/>
          <w:b/>
          <w:bCs/>
          <w:color w:val="111111"/>
          <w:sz w:val="22"/>
          <w:szCs w:val="22"/>
          <w:lang w:val="fr-CA"/>
        </w:rPr>
        <w:t>Soutien en matière d’équipement ergonomique :</w:t>
      </w:r>
      <w:r>
        <w:rPr>
          <w:rFonts w:ascii="Arial" w:hAnsi="Arial" w:cs="Arial"/>
          <w:color w:val="111111"/>
          <w:sz w:val="22"/>
          <w:szCs w:val="22"/>
          <w:lang w:val="fr-CA"/>
        </w:rPr>
        <w:t xml:space="preserve"> Compugen continue d’offrir de l’équipement ergonomique pour répondre aux besoins d’accessibilité et de mesures d’adaptation au travail. Cette mesure aide à réduire les obstacles physiques et à rendre le milieu de travail plus accessible.</w:t>
      </w:r>
    </w:p>
    <w:p w14:paraId="05902FB7" w14:textId="77777777" w:rsidR="00CF7E37" w:rsidRPr="00893DDA" w:rsidRDefault="00CF7E37" w:rsidP="00CF7E37">
      <w:pPr>
        <w:rPr>
          <w:rFonts w:ascii="Arial" w:hAnsi="Arial" w:cs="Arial"/>
          <w:b/>
          <w:bCs/>
          <w:color w:val="111111"/>
          <w:sz w:val="22"/>
          <w:szCs w:val="22"/>
          <w:lang w:val="fr-FR"/>
        </w:rPr>
      </w:pPr>
    </w:p>
    <w:p w14:paraId="07C6BAF6" w14:textId="77777777" w:rsidR="00001CA0" w:rsidRPr="00001CA0" w:rsidRDefault="00001CA0">
      <w:pPr>
        <w:rPr>
          <w:kern w:val="2"/>
          <w:lang w:val="fr-FR" w:eastAsia="en-CA"/>
          <w14:ligatures w14:val="standardContextual"/>
        </w:rPr>
      </w:pPr>
      <w:r>
        <w:rPr>
          <w:rFonts w:ascii="Arial" w:hAnsi="Arial" w:cs="Arial"/>
          <w:b/>
          <w:bCs/>
          <w:color w:val="111111"/>
          <w:sz w:val="22"/>
          <w:szCs w:val="22"/>
          <w:lang w:val="fr-CA"/>
        </w:rPr>
        <w:t>Engagement continu :</w:t>
      </w:r>
      <w:r>
        <w:rPr>
          <w:rFonts w:ascii="Arial" w:hAnsi="Arial" w:cs="Arial"/>
          <w:color w:val="111111"/>
          <w:sz w:val="22"/>
          <w:szCs w:val="22"/>
          <w:lang w:val="fr-CA"/>
        </w:rPr>
        <w:t xml:space="preserve"> L’accessibilité continue d’être prise en compte dans la planification des installations et les projets d’immobilisations afin que les futures améliorations du milieu de travail intègrent les besoins d’accessibilité, tout en tenant compte des besoins opérationnels.</w:t>
      </w:r>
    </w:p>
    <w:p w14:paraId="182ABB20" w14:textId="77777777" w:rsidR="00834797" w:rsidRPr="00893DDA" w:rsidRDefault="00834797" w:rsidP="00CF7E37">
      <w:pPr>
        <w:rPr>
          <w:rFonts w:ascii="Arial" w:hAnsi="Arial" w:cs="Arial"/>
          <w:b/>
          <w:bCs/>
          <w:color w:val="111111"/>
          <w:sz w:val="22"/>
          <w:szCs w:val="22"/>
          <w:lang w:val="fr-FR"/>
        </w:rPr>
      </w:pPr>
    </w:p>
    <w:p w14:paraId="19DDE64A" w14:textId="77777777" w:rsidR="00893DDA" w:rsidRPr="00893DDA" w:rsidRDefault="00893DDA" w:rsidP="00893DDA">
      <w:pPr>
        <w:pStyle w:val="Heading2"/>
        <w:rPr>
          <w:kern w:val="2"/>
          <w:szCs w:val="28"/>
          <w:lang w:val="fr-FR" w:eastAsia="en-CA"/>
          <w14:ligatures w14:val="standardContextual"/>
        </w:rPr>
      </w:pPr>
      <w:bookmarkStart w:id="6" w:name="_Toc167454558"/>
      <w:bookmarkStart w:id="7" w:name="_Toc230870745"/>
      <w:bookmarkEnd w:id="6"/>
      <w:r>
        <w:rPr>
          <w:lang w:val="fr-CA"/>
        </w:rPr>
        <w:t>Technologies de l’information et des communications</w:t>
      </w:r>
      <w:bookmarkEnd w:id="7"/>
    </w:p>
    <w:p w14:paraId="5C3FDB07" w14:textId="77777777" w:rsidR="00001CA0" w:rsidRPr="00001CA0" w:rsidRDefault="00001CA0">
      <w:pPr>
        <w:pStyle w:val="Body"/>
        <w:rPr>
          <w:kern w:val="2"/>
          <w:szCs w:val="24"/>
          <w:lang w:val="fr-FR" w:eastAsia="en-CA"/>
          <w14:ligatures w14:val="standardContextual"/>
        </w:rPr>
      </w:pPr>
      <w:r>
        <w:rPr>
          <w:sz w:val="22"/>
          <w:szCs w:val="22"/>
          <w:lang w:val="fr-CA"/>
        </w:rPr>
        <w:t>Pendant la période visée par le présent rapport, nous avons mis en œuvre les mesures suivantes dans le domaine des technologies de l’information et des communications afin de cerner et d’éliminer les obstacles, et d’aider à prévenir l’apparition de nouveaux obstacles.</w:t>
      </w:r>
    </w:p>
    <w:p w14:paraId="232B5FB7"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b/>
          <w:bCs/>
          <w:color w:val="111111"/>
          <w:sz w:val="22"/>
          <w:szCs w:val="22"/>
          <w:lang w:val="fr-CA"/>
        </w:rPr>
        <w:t>Améliorations de l’accessibilité et de l’interface utilisateur dans le SIRH :</w:t>
      </w:r>
      <w:r>
        <w:rPr>
          <w:rFonts w:ascii="Arial" w:hAnsi="Arial" w:cs="Arial"/>
          <w:color w:val="111111"/>
          <w:sz w:val="22"/>
          <w:szCs w:val="22"/>
          <w:lang w:val="fr-CA"/>
        </w:rPr>
        <w:t xml:space="preserve"> Nous avons apporté plusieurs améliorations à l’accessibilité et à l’interface utilisateur de notre SIRH. Ces améliorations comprennent une meilleure navigation au clavier, un meilleur soutien pour les lecteurs d’écran, des ajustements au contraste des couleurs, des titres de page plus clairs dans certains flux de travail, des options pour ajouter un texte de remplacement aux images dans les tableaux d’affichage RH, la possibilité de marquer certaines images dans les communications internes comme décoratives, ainsi que des images de profil par défaut mises à jour qui affichent les initiales de l’utilisatrice ou de l’utilisateur plutôt qu’une image générique. Ces changements améliorent l’expérience des employées, employés, candidates et candidats qui utilisent des technologies d’assistance.</w:t>
      </w:r>
    </w:p>
    <w:p w14:paraId="5BB12085" w14:textId="6C4A30C3" w:rsidR="00835CBB" w:rsidRPr="00893DDA" w:rsidRDefault="00835CBB" w:rsidP="00905E4D">
      <w:pPr>
        <w:shd w:val="clear" w:color="auto" w:fill="FFFFFF"/>
        <w:spacing w:before="180"/>
        <w:rPr>
          <w:rFonts w:ascii="Arial" w:hAnsi="Arial" w:cs="Arial"/>
          <w:color w:val="111111"/>
          <w:sz w:val="22"/>
          <w:szCs w:val="22"/>
          <w:lang w:val="fr-FR"/>
        </w:rPr>
      </w:pPr>
    </w:p>
    <w:p w14:paraId="1FE0120C" w14:textId="77777777" w:rsidR="00001CA0" w:rsidRPr="00001CA0" w:rsidRDefault="00001CA0" w:rsidP="00001CA0">
      <w:pPr>
        <w:pStyle w:val="Heading2"/>
        <w:rPr>
          <w:kern w:val="2"/>
          <w:szCs w:val="28"/>
          <w:lang w:val="fr-FR" w:eastAsia="en-CA"/>
          <w14:ligatures w14:val="standardContextual"/>
        </w:rPr>
      </w:pPr>
      <w:bookmarkStart w:id="8" w:name="_Toc167454560"/>
      <w:bookmarkStart w:id="9" w:name="_Toc167454559"/>
      <w:bookmarkStart w:id="10" w:name="_Toc230870746"/>
      <w:bookmarkEnd w:id="9"/>
      <w:r>
        <w:rPr>
          <w:lang w:val="fr-CA"/>
        </w:rPr>
        <w:t>Communications</w:t>
      </w:r>
      <w:bookmarkEnd w:id="10"/>
    </w:p>
    <w:p w14:paraId="71C3EABE" w14:textId="77777777" w:rsidR="00001CA0" w:rsidRPr="00001CA0" w:rsidRDefault="00001CA0">
      <w:pPr>
        <w:pStyle w:val="Body"/>
        <w:rPr>
          <w:kern w:val="2"/>
          <w:szCs w:val="24"/>
          <w:lang w:val="fr-FR" w:eastAsia="en-CA"/>
          <w14:ligatures w14:val="standardContextual"/>
        </w:rPr>
      </w:pPr>
      <w:r>
        <w:rPr>
          <w:sz w:val="22"/>
          <w:szCs w:val="22"/>
          <w:lang w:val="fr-CA"/>
        </w:rPr>
        <w:t>Pendant la période visée par le présent rapport, nous avons mis en œuvre les mesures suivantes dans le domaine des communications afin de cerner et d’éliminer les obstacles, et d’aider à prévenir l’apparition de nouveaux obstacles.</w:t>
      </w:r>
    </w:p>
    <w:p w14:paraId="5A93C23F"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b/>
          <w:bCs/>
          <w:color w:val="111111"/>
          <w:sz w:val="22"/>
          <w:szCs w:val="22"/>
          <w:lang w:val="fr-CA"/>
        </w:rPr>
        <w:t>Révision de politiques en langage clair :</w:t>
      </w:r>
      <w:r>
        <w:rPr>
          <w:rFonts w:ascii="Arial" w:hAnsi="Arial" w:cs="Arial"/>
          <w:color w:val="111111"/>
          <w:sz w:val="22"/>
          <w:szCs w:val="22"/>
          <w:lang w:val="fr-CA"/>
        </w:rPr>
        <w:t xml:space="preserve"> Nous avons révisé plusieurs politiques en langage clair afin de rendre l’information destinée aux employées et employés plus facile à comprendre et plus accessible. Ces révisions aident à réduire les obstacles lorsque les employées et employés consultent les politiques du milieu de travail et les lignes directrices connexes.</w:t>
      </w:r>
    </w:p>
    <w:p w14:paraId="75AF40A1" w14:textId="77777777" w:rsidR="001C0445" w:rsidRPr="00893DDA" w:rsidRDefault="001C0445" w:rsidP="001C0445">
      <w:pPr>
        <w:shd w:val="clear" w:color="auto" w:fill="FFFFFF"/>
        <w:spacing w:before="180"/>
        <w:rPr>
          <w:rFonts w:ascii="Arial" w:hAnsi="Arial" w:cs="Arial"/>
          <w:color w:val="111111"/>
          <w:sz w:val="22"/>
          <w:szCs w:val="22"/>
          <w:lang w:val="fr-FR"/>
        </w:rPr>
      </w:pPr>
    </w:p>
    <w:p w14:paraId="4A3B3D51" w14:textId="77777777" w:rsidR="00893DDA" w:rsidRPr="00893DDA" w:rsidRDefault="00893DDA" w:rsidP="00893DDA">
      <w:pPr>
        <w:pStyle w:val="Heading2"/>
        <w:rPr>
          <w:kern w:val="2"/>
          <w:szCs w:val="28"/>
          <w:lang w:val="fr-FR" w:eastAsia="en-CA"/>
          <w14:ligatures w14:val="standardContextual"/>
        </w:rPr>
      </w:pPr>
      <w:bookmarkStart w:id="11" w:name="_Toc230870747"/>
      <w:bookmarkEnd w:id="8"/>
      <w:r>
        <w:rPr>
          <w:lang w:val="fr-CA"/>
        </w:rPr>
        <w:t>Approvisionnement en biens, services et installations</w:t>
      </w:r>
      <w:bookmarkEnd w:id="11"/>
      <w:r>
        <w:rPr>
          <w:lang w:val="fr-CA"/>
        </w:rPr>
        <w:t xml:space="preserve"> </w:t>
      </w:r>
    </w:p>
    <w:p w14:paraId="3E6CCE63"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b/>
          <w:bCs/>
          <w:color w:val="111111"/>
          <w:sz w:val="22"/>
          <w:szCs w:val="22"/>
          <w:lang w:val="fr-CA"/>
        </w:rPr>
        <w:t>État actuel :</w:t>
      </w:r>
      <w:r>
        <w:rPr>
          <w:rFonts w:ascii="Arial" w:hAnsi="Arial" w:cs="Arial"/>
          <w:color w:val="111111"/>
          <w:sz w:val="22"/>
          <w:szCs w:val="22"/>
          <w:lang w:val="fr-CA"/>
        </w:rPr>
        <w:t xml:space="preserve"> Aucune nouvelle mesure d’accessibilité liée à l’approvisionnement n’a été mise en œuvre pendant la période visée par le présent rapport. Compugen a continué d’examiner comment l’accessibilité peut être prise en compte, au besoin, dans la sélection des fournisseurs et les pratiques d’approvisionnement.</w:t>
      </w:r>
    </w:p>
    <w:p w14:paraId="1036CDA0"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b/>
          <w:bCs/>
          <w:color w:val="111111"/>
          <w:sz w:val="22"/>
          <w:szCs w:val="22"/>
          <w:lang w:val="fr-CA"/>
        </w:rPr>
        <w:t>Examen continu :</w:t>
      </w:r>
      <w:r>
        <w:rPr>
          <w:rFonts w:ascii="Arial" w:hAnsi="Arial" w:cs="Arial"/>
          <w:color w:val="111111"/>
          <w:sz w:val="22"/>
          <w:szCs w:val="22"/>
          <w:lang w:val="fr-CA"/>
        </w:rPr>
        <w:t xml:space="preserve"> Nous continuons d’examiner les listes de vérification, les processus et les modèles liés à l’approvisionnement afin de repérer des occasions concrètes d’intégrer progressivement des considérations d’accessibilité.</w:t>
      </w:r>
    </w:p>
    <w:p w14:paraId="5188DB3F" w14:textId="77777777" w:rsidR="00C1286A" w:rsidRPr="00893DDA" w:rsidRDefault="00C1286A" w:rsidP="00BF10E3">
      <w:pPr>
        <w:shd w:val="clear" w:color="auto" w:fill="FFFFFF"/>
        <w:spacing w:before="180"/>
        <w:rPr>
          <w:rFonts w:ascii="Arial" w:hAnsi="Arial" w:cs="Arial"/>
          <w:color w:val="111111"/>
          <w:sz w:val="22"/>
          <w:szCs w:val="22"/>
          <w:lang w:val="fr-FR"/>
        </w:rPr>
      </w:pPr>
    </w:p>
    <w:p w14:paraId="1CBBD7FB" w14:textId="77777777" w:rsidR="00893DDA" w:rsidRPr="00893DDA" w:rsidRDefault="00893DDA" w:rsidP="00893DDA">
      <w:pPr>
        <w:pStyle w:val="Heading2"/>
        <w:rPr>
          <w:kern w:val="2"/>
          <w:szCs w:val="28"/>
          <w:lang w:val="fr-FR" w:eastAsia="en-CA"/>
          <w14:ligatures w14:val="standardContextual"/>
        </w:rPr>
      </w:pPr>
      <w:bookmarkStart w:id="12" w:name="_Toc167454561"/>
      <w:bookmarkStart w:id="13" w:name="_Toc230870748"/>
      <w:bookmarkEnd w:id="12"/>
      <w:r>
        <w:rPr>
          <w:lang w:val="fr-CA"/>
        </w:rPr>
        <w:t>Conception et prestation des programmes et services</w:t>
      </w:r>
      <w:bookmarkEnd w:id="13"/>
    </w:p>
    <w:p w14:paraId="60759F25" w14:textId="77777777" w:rsidR="00001CA0" w:rsidRPr="00001CA0" w:rsidRDefault="00001CA0">
      <w:pPr>
        <w:pStyle w:val="Body"/>
        <w:rPr>
          <w:kern w:val="2"/>
          <w:szCs w:val="24"/>
          <w:lang w:val="fr-FR" w:eastAsia="en-CA"/>
          <w14:ligatures w14:val="standardContextual"/>
        </w:rPr>
      </w:pPr>
      <w:r>
        <w:rPr>
          <w:sz w:val="22"/>
          <w:szCs w:val="22"/>
          <w:lang w:val="fr-CA"/>
        </w:rPr>
        <w:t>Pendant la période visée par le présent rapport, nous avons mis en œuvre les mesures suivantes dans la conception et la prestation des programmes et services afin de cerner et d’éliminer les obstacles, et d’aider à prévenir l’apparition de nouveaux obstacles.</w:t>
      </w:r>
    </w:p>
    <w:p w14:paraId="67C8A39C" w14:textId="77777777" w:rsidR="00246ADF" w:rsidRPr="00893DDA" w:rsidRDefault="00246ADF" w:rsidP="00246ADF">
      <w:pPr>
        <w:rPr>
          <w:lang w:val="fr-FR"/>
        </w:rPr>
      </w:pPr>
    </w:p>
    <w:p w14:paraId="72E98711" w14:textId="77777777" w:rsidR="00001CA0" w:rsidRPr="00001CA0" w:rsidRDefault="00001CA0">
      <w:pPr>
        <w:pStyle w:val="Body"/>
        <w:rPr>
          <w:kern w:val="2"/>
          <w:szCs w:val="24"/>
          <w:lang w:val="fr-FR" w:eastAsia="en-CA"/>
          <w14:ligatures w14:val="standardContextual"/>
        </w:rPr>
      </w:pPr>
      <w:r>
        <w:rPr>
          <w:b/>
          <w:bCs/>
          <w:sz w:val="22"/>
          <w:szCs w:val="22"/>
          <w:lang w:val="fr-CA"/>
        </w:rPr>
        <w:t>Formation sur le service à la clientèle accessible pour toutes les nouvelles recrues :</w:t>
      </w:r>
      <w:r>
        <w:rPr>
          <w:sz w:val="22"/>
          <w:szCs w:val="22"/>
          <w:lang w:val="fr-CA"/>
        </w:rPr>
        <w:t xml:space="preserve"> Nous avons étendu la formation sur le service à la clientèle accessible à toutes les nouvelles recrues, quel que soit leur rôle, y compris les personnes qui fournissent des biens ou des services au nom de Compugen. La formation doit être suivie dans les 60 premiers jours d’emploi.</w:t>
      </w:r>
    </w:p>
    <w:p w14:paraId="5EBAD223" w14:textId="77777777" w:rsidR="001C4178" w:rsidRPr="00893DDA" w:rsidRDefault="001C4178" w:rsidP="001C4178">
      <w:pPr>
        <w:rPr>
          <w:lang w:val="fr-FR"/>
        </w:rPr>
      </w:pPr>
    </w:p>
    <w:p w14:paraId="57285B7D" w14:textId="77777777" w:rsidR="00893DDA" w:rsidRPr="00893DDA" w:rsidRDefault="00893DDA" w:rsidP="00893DDA">
      <w:pPr>
        <w:pStyle w:val="Heading2"/>
        <w:rPr>
          <w:kern w:val="2"/>
          <w:szCs w:val="28"/>
          <w:lang w:val="fr-FR" w:eastAsia="en-CA"/>
          <w14:ligatures w14:val="standardContextual"/>
        </w:rPr>
      </w:pPr>
      <w:bookmarkStart w:id="14" w:name="_Toc167454562"/>
      <w:bookmarkStart w:id="15" w:name="_Toc230870749"/>
      <w:bookmarkEnd w:id="14"/>
      <w:r>
        <w:rPr>
          <w:lang w:val="fr-CA"/>
        </w:rPr>
        <w:t>Transport</w:t>
      </w:r>
      <w:bookmarkEnd w:id="15"/>
    </w:p>
    <w:p w14:paraId="6CA7C03B"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b/>
          <w:bCs/>
          <w:color w:val="000000"/>
          <w:sz w:val="22"/>
          <w:szCs w:val="22"/>
          <w:lang w:val="fr-CA"/>
        </w:rPr>
        <w:t>État actuel :</w:t>
      </w:r>
      <w:r>
        <w:rPr>
          <w:rFonts w:ascii="Arial" w:hAnsi="Arial" w:cs="Arial"/>
          <w:color w:val="000000"/>
          <w:sz w:val="22"/>
          <w:szCs w:val="22"/>
          <w:lang w:val="fr-CA"/>
        </w:rPr>
        <w:t xml:space="preserve"> Compugen ne fournit pas de services de transport. Par conséquent, aucune mesure d’accessibilité liée au transport n’est à signaler pour la période visée par le présent rapport. Nous continuerons d’examiner ce domaine pour évaluer sa pertinence à mesure que nos activités évoluent.</w:t>
      </w:r>
    </w:p>
    <w:p w14:paraId="0DB29AAA" w14:textId="77777777" w:rsidR="00A6073B" w:rsidRPr="00893DDA" w:rsidRDefault="00A6073B" w:rsidP="00A6073B">
      <w:pPr>
        <w:rPr>
          <w:lang w:val="fr-FR"/>
        </w:rPr>
      </w:pPr>
    </w:p>
    <w:p w14:paraId="232B651E" w14:textId="77777777" w:rsidR="00893DDA" w:rsidRPr="00893DDA" w:rsidRDefault="00893DDA" w:rsidP="00893DDA">
      <w:pPr>
        <w:pStyle w:val="Heading1"/>
        <w:rPr>
          <w:kern w:val="36"/>
          <w:szCs w:val="32"/>
          <w:lang w:val="fr-FR" w:eastAsia="en-CA"/>
          <w14:ligatures w14:val="standardContextual"/>
        </w:rPr>
      </w:pPr>
      <w:bookmarkStart w:id="16" w:name="_Toc230870750"/>
      <w:r>
        <w:rPr>
          <w:lang w:val="fr-CA"/>
        </w:rPr>
        <w:lastRenderedPageBreak/>
        <w:t>Consultation des personnes en situation de handicap</w:t>
      </w:r>
      <w:bookmarkEnd w:id="16"/>
    </w:p>
    <w:p w14:paraId="3D71AC4A"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color w:val="000000"/>
          <w:sz w:val="22"/>
          <w:szCs w:val="22"/>
          <w:lang w:val="fr-CA"/>
        </w:rPr>
        <w:t>Pour appuyer la préparation du présent rapport, Compugen a mené un sondage sur l’accessibilité afin de cerner les obstacles et de recueillir des commentaires sur les moyens de rendre le milieu de travail plus accessible.</w:t>
      </w:r>
    </w:p>
    <w:p w14:paraId="4E0F85FF"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color w:val="000000"/>
          <w:sz w:val="22"/>
          <w:szCs w:val="22"/>
          <w:lang w:val="fr-CA"/>
        </w:rPr>
        <w:t>Le sondage invitait les employées et employés, y compris les personnes en situation de handicap, à partager leur expérience, à relever les obstacles et à proposer des façons d’améliorer l’accessibilité dans l’ensemble du milieu de travail. Les réponses reçues ont été examinées et prises en compte dans la préparation du présent rapport.</w:t>
      </w:r>
    </w:p>
    <w:p w14:paraId="09CD8AD7"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color w:val="000000"/>
          <w:sz w:val="22"/>
          <w:szCs w:val="22"/>
          <w:lang w:val="fr-CA"/>
        </w:rPr>
        <w:t>Les commentaires recueillis dans le cadre du sondage ont été examinés et pris en compte dans la préparation du présent rapport ainsi que dans l’établissement des priorités futures en matière d’accessibilité.</w:t>
      </w:r>
    </w:p>
    <w:p w14:paraId="35D8E345" w14:textId="77777777" w:rsidR="00AE2F82" w:rsidRPr="002A3DAB" w:rsidRDefault="00AE2F82" w:rsidP="00AE2F82">
      <w:pPr>
        <w:pStyle w:val="Heading1"/>
        <w:rPr>
          <w:kern w:val="36"/>
          <w:szCs w:val="32"/>
          <w:lang w:val="fr-FR" w:eastAsia="en-CA"/>
          <w14:ligatures w14:val="standardContextual"/>
        </w:rPr>
      </w:pPr>
      <w:bookmarkStart w:id="17" w:name="_Toc230870751"/>
      <w:r>
        <w:rPr>
          <w:lang w:val="fr-CA"/>
        </w:rPr>
        <w:t>Rétroaction reçue et prise en compte</w:t>
      </w:r>
      <w:bookmarkEnd w:id="17"/>
    </w:p>
    <w:p w14:paraId="321549D2"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color w:val="000000"/>
          <w:sz w:val="22"/>
          <w:szCs w:val="22"/>
          <w:lang w:val="fr-CA"/>
        </w:rPr>
        <w:t>Compugen n’a reçu aucune soumission par l’entremise du processus officiel de rétroaction pendant la période visée par le rapport. En dehors de ce processus, des commentaires ont été recueillis au moyen du sondage sur l’accessibilité et pris en compte dans la préparation du présent rapport.</w:t>
      </w:r>
    </w:p>
    <w:p w14:paraId="5B565D2B"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color w:val="000000"/>
          <w:sz w:val="22"/>
          <w:szCs w:val="22"/>
          <w:lang w:val="fr-CA"/>
        </w:rPr>
        <w:t>Le sondage a reçu 62 réponses sur un total de 1 477 employées et employés. Parmi les répondantes et répondants qui se sont identifiés comme étant en situation de handicap, la plupart ont indiqué ne pas avoir rencontré d’obstacles. Un petit nombre a relevé des obstacles liés aux communications ainsi qu’à la prestation des programmes et services. Le sondage a également révélé une connaissance et une utilisation limitées du processus officiel de rétroaction sur l’accessibilité de Compugen.</w:t>
      </w:r>
    </w:p>
    <w:p w14:paraId="14516823" w14:textId="77777777" w:rsidR="00001CA0" w:rsidRPr="00001CA0" w:rsidRDefault="00001CA0">
      <w:pPr>
        <w:shd w:val="clear" w:color="auto" w:fill="FFFFFF"/>
        <w:spacing w:before="180"/>
        <w:rPr>
          <w:kern w:val="2"/>
          <w:lang w:val="fr-FR" w:eastAsia="en-CA"/>
          <w14:ligatures w14:val="standardContextual"/>
        </w:rPr>
      </w:pPr>
      <w:r>
        <w:rPr>
          <w:rFonts w:ascii="Arial" w:hAnsi="Arial" w:cs="Arial"/>
          <w:color w:val="000000"/>
          <w:sz w:val="22"/>
          <w:szCs w:val="22"/>
          <w:lang w:val="fr-CA"/>
        </w:rPr>
        <w:t>Les thèmes relevés dans les commentaires à réponse libre comprenaient le besoin d’une communication plus claire dans certaines situations, une plus grande sensibilisation à la neurodiversité et aux handicaps invisibles, un meilleur accès à l’équipement ergonomique et à des espaces de travail calmes, un soutien accru en matière de santé mentale et d’avantages sociaux, un processus d’adaptation plus visible, ainsi que des démarches plus simples pour demander de l’équipement d’assistance. Ces thèmes aideront à orienter les priorités et les améliorations futures en matière d’accessibilité.</w:t>
      </w:r>
    </w:p>
    <w:p w14:paraId="4083CC78" w14:textId="77777777" w:rsidR="00B57183" w:rsidRPr="00893DDA" w:rsidRDefault="00B57183" w:rsidP="00B57183">
      <w:pPr>
        <w:rPr>
          <w:lang w:val="fr-FR"/>
        </w:rPr>
      </w:pPr>
    </w:p>
    <w:p w14:paraId="062B6711" w14:textId="77777777" w:rsidR="006E41E7" w:rsidRPr="00893DDA" w:rsidRDefault="006E41E7" w:rsidP="00B57183">
      <w:pPr>
        <w:rPr>
          <w:lang w:val="fr-FR"/>
        </w:rPr>
      </w:pPr>
    </w:p>
    <w:p w14:paraId="12B3F316" w14:textId="21A0646F" w:rsidR="006E41E7" w:rsidRPr="00893DDA" w:rsidRDefault="006E41E7" w:rsidP="00B57183">
      <w:pPr>
        <w:rPr>
          <w:lang w:val="fr-FR"/>
        </w:rPr>
      </w:pPr>
    </w:p>
    <w:sectPr w:rsidR="006E41E7" w:rsidRPr="00893DDA" w:rsidSect="00185AB4">
      <w:headerReference w:type="default" r:id="rId12"/>
      <w:footerReference w:type="default" r:id="rId13"/>
      <w:headerReference w:type="first" r:id="rId14"/>
      <w:pgSz w:w="12600" w:h="16020"/>
      <w:pgMar w:top="1440" w:right="1440" w:bottom="1440" w:left="1440" w:header="230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304ED" w14:textId="77777777" w:rsidR="00CA6059" w:rsidRDefault="00CA6059" w:rsidP="00786016">
      <w:r>
        <w:separator/>
      </w:r>
    </w:p>
  </w:endnote>
  <w:endnote w:type="continuationSeparator" w:id="0">
    <w:p w14:paraId="30570F45" w14:textId="77777777" w:rsidR="00CA6059" w:rsidRDefault="00CA6059" w:rsidP="00786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55"/>
    </w:tblGrid>
    <w:tr w:rsidR="005E60F9" w14:paraId="5603CD5C" w14:textId="77777777" w:rsidTr="005E60F9">
      <w:tc>
        <w:tcPr>
          <w:tcW w:w="4855" w:type="dxa"/>
        </w:tcPr>
        <w:p w14:paraId="32EC738C" w14:textId="453863B9" w:rsidR="005E60F9" w:rsidRDefault="007C1863" w:rsidP="005E60F9">
          <w:pPr>
            <w:pStyle w:val="Body"/>
          </w:pPr>
          <w:fldSimple w:instr=" STYLEREF &quot;Compugen Inc. Title&quot; \* MERGEFORMAT ">
            <w:r w:rsidR="00E121C4">
              <w:rPr>
                <w:noProof/>
              </w:rPr>
              <w:t>Rapport d’étape sur l’accessibilité</w:t>
            </w:r>
          </w:fldSimple>
        </w:p>
      </w:tc>
      <w:tc>
        <w:tcPr>
          <w:tcW w:w="4855" w:type="dxa"/>
        </w:tcPr>
        <w:p w14:paraId="34199F5F" w14:textId="77777777" w:rsidR="005E60F9" w:rsidRPr="005E60F9" w:rsidRDefault="005E60F9" w:rsidP="005E60F9">
          <w:pPr>
            <w:pStyle w:val="Body"/>
            <w:jc w:val="right"/>
          </w:pPr>
          <w:r w:rsidRPr="005E60F9">
            <w:rPr>
              <w:sz w:val="21"/>
              <w:szCs w:val="18"/>
            </w:rPr>
            <w:t xml:space="preserve">Page </w:t>
          </w:r>
          <w:r w:rsidRPr="005E60F9">
            <w:rPr>
              <w:sz w:val="21"/>
              <w:szCs w:val="18"/>
            </w:rPr>
            <w:fldChar w:fldCharType="begin"/>
          </w:r>
          <w:r w:rsidRPr="005E60F9">
            <w:rPr>
              <w:sz w:val="21"/>
              <w:szCs w:val="18"/>
            </w:rPr>
            <w:instrText xml:space="preserve"> PAGE </w:instrText>
          </w:r>
          <w:r w:rsidRPr="005E60F9">
            <w:rPr>
              <w:sz w:val="21"/>
              <w:szCs w:val="18"/>
            </w:rPr>
            <w:fldChar w:fldCharType="separate"/>
          </w:r>
          <w:r w:rsidRPr="005E60F9">
            <w:rPr>
              <w:sz w:val="21"/>
              <w:szCs w:val="18"/>
            </w:rPr>
            <w:t>1</w:t>
          </w:r>
          <w:r w:rsidRPr="005E60F9">
            <w:rPr>
              <w:sz w:val="21"/>
              <w:szCs w:val="18"/>
            </w:rPr>
            <w:fldChar w:fldCharType="end"/>
          </w:r>
          <w:r w:rsidRPr="005E60F9">
            <w:rPr>
              <w:sz w:val="21"/>
              <w:szCs w:val="18"/>
            </w:rPr>
            <w:t xml:space="preserve"> of </w:t>
          </w:r>
          <w:r w:rsidRPr="005E60F9">
            <w:rPr>
              <w:sz w:val="21"/>
              <w:szCs w:val="18"/>
            </w:rPr>
            <w:fldChar w:fldCharType="begin"/>
          </w:r>
          <w:r w:rsidRPr="005E60F9">
            <w:rPr>
              <w:sz w:val="21"/>
              <w:szCs w:val="18"/>
            </w:rPr>
            <w:instrText xml:space="preserve"> NUMPAGES </w:instrText>
          </w:r>
          <w:r w:rsidRPr="005E60F9">
            <w:rPr>
              <w:sz w:val="21"/>
              <w:szCs w:val="18"/>
            </w:rPr>
            <w:fldChar w:fldCharType="separate"/>
          </w:r>
          <w:r w:rsidRPr="005E60F9">
            <w:rPr>
              <w:sz w:val="21"/>
              <w:szCs w:val="18"/>
            </w:rPr>
            <w:t>2</w:t>
          </w:r>
          <w:r w:rsidRPr="005E60F9">
            <w:rPr>
              <w:sz w:val="21"/>
              <w:szCs w:val="18"/>
            </w:rPr>
            <w:fldChar w:fldCharType="end"/>
          </w:r>
        </w:p>
      </w:tc>
    </w:tr>
  </w:tbl>
  <w:p w14:paraId="6AEA380F" w14:textId="77777777" w:rsidR="00786016" w:rsidRPr="005E60F9" w:rsidRDefault="00786016" w:rsidP="005E6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9F92F" w14:textId="77777777" w:rsidR="00CA6059" w:rsidRDefault="00CA6059" w:rsidP="00786016">
      <w:r>
        <w:separator/>
      </w:r>
    </w:p>
  </w:footnote>
  <w:footnote w:type="continuationSeparator" w:id="0">
    <w:p w14:paraId="1B42A45F" w14:textId="77777777" w:rsidR="00CA6059" w:rsidRDefault="00CA6059" w:rsidP="00786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6094" w14:textId="77777777" w:rsidR="00786016" w:rsidRDefault="005E60F9">
    <w:pPr>
      <w:pStyle w:val="Header"/>
    </w:pPr>
    <w:r>
      <w:rPr>
        <w:noProof/>
      </w:rPr>
      <w:drawing>
        <wp:anchor distT="0" distB="0" distL="114300" distR="114300" simplePos="0" relativeHeight="251658240" behindDoc="1" locked="0" layoutInCell="1" allowOverlap="1" wp14:anchorId="6CE29986" wp14:editId="4C288B76">
          <wp:simplePos x="0" y="0"/>
          <wp:positionH relativeFrom="page">
            <wp:posOffset>0</wp:posOffset>
          </wp:positionH>
          <wp:positionV relativeFrom="page">
            <wp:posOffset>0</wp:posOffset>
          </wp:positionV>
          <wp:extent cx="8019288" cy="10305288"/>
          <wp:effectExtent l="0" t="0" r="0" b="0"/>
          <wp:wrapNone/>
          <wp:docPr id="937869043" name="Picture 6"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69043" name="Picture 6" descr="A picture containing screenshot, tex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19288" cy="103052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A9FD" w14:textId="77777777" w:rsidR="00AC5AC2" w:rsidRDefault="008F1639" w:rsidP="008F1639">
    <w:pPr>
      <w:pStyle w:val="Header"/>
    </w:pPr>
    <w:r>
      <w:rPr>
        <w:noProof/>
      </w:rPr>
      <w:drawing>
        <wp:anchor distT="0" distB="0" distL="114300" distR="114300" simplePos="0" relativeHeight="251659264" behindDoc="1" locked="0" layoutInCell="1" allowOverlap="1" wp14:anchorId="4A7B095B" wp14:editId="00C9F792">
          <wp:simplePos x="0" y="0"/>
          <wp:positionH relativeFrom="page">
            <wp:posOffset>-89647</wp:posOffset>
          </wp:positionH>
          <wp:positionV relativeFrom="page">
            <wp:posOffset>-215153</wp:posOffset>
          </wp:positionV>
          <wp:extent cx="8362817" cy="10826495"/>
          <wp:effectExtent l="0" t="0" r="0" b="0"/>
          <wp:wrapNone/>
          <wp:docPr id="1237750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50795"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8362817" cy="10826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523A"/>
    <w:multiLevelType w:val="hybridMultilevel"/>
    <w:tmpl w:val="FFFFFFFF"/>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1" w15:restartNumberingAfterBreak="0">
    <w:nsid w:val="0E934DFA"/>
    <w:multiLevelType w:val="multilevel"/>
    <w:tmpl w:val="8E9E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5459B"/>
    <w:multiLevelType w:val="multilevel"/>
    <w:tmpl w:val="3CFCE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F3635"/>
    <w:multiLevelType w:val="multilevel"/>
    <w:tmpl w:val="7BA8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10A35"/>
    <w:multiLevelType w:val="hybridMultilevel"/>
    <w:tmpl w:val="4AF2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94BC8"/>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233F01"/>
    <w:multiLevelType w:val="hybridMultilevel"/>
    <w:tmpl w:val="769A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93CCA"/>
    <w:multiLevelType w:val="hybridMultilevel"/>
    <w:tmpl w:val="2BA02694"/>
    <w:lvl w:ilvl="0" w:tplc="880EF61E">
      <w:start w:val="1"/>
      <w:numFmt w:val="decimal"/>
      <w:pStyle w:val="ListParagraph"/>
      <w:lvlText w:val="%1."/>
      <w:lvlJc w:val="left"/>
      <w:pPr>
        <w:ind w:left="720" w:hanging="360"/>
      </w:pPr>
      <w:rPr>
        <w:rFonts w:hint="default"/>
        <w:color w:val="05DA76"/>
      </w:rPr>
    </w:lvl>
    <w:lvl w:ilvl="1" w:tplc="FFFFFFFF">
      <w:start w:val="1"/>
      <w:numFmt w:val="lowerLetter"/>
      <w:lvlText w:val="%2."/>
      <w:lvlJc w:val="left"/>
      <w:pPr>
        <w:ind w:left="1440" w:hanging="360"/>
      </w:pPr>
      <w:rPr>
        <w:rFonts w:hint="default"/>
        <w:color w:val="05DA76"/>
      </w:rPr>
    </w:lvl>
    <w:lvl w:ilvl="2" w:tplc="FFFFFFFF">
      <w:start w:val="1"/>
      <w:numFmt w:val="lowerRoman"/>
      <w:lvlText w:val="%3."/>
      <w:lvlJc w:val="right"/>
      <w:pPr>
        <w:ind w:left="2160" w:hanging="180"/>
      </w:pPr>
      <w:rPr>
        <w:rFonts w:hint="default"/>
        <w:color w:val="04D976"/>
      </w:rPr>
    </w:lvl>
    <w:lvl w:ilvl="3" w:tplc="FFFFFFFF">
      <w:start w:val="1"/>
      <w:numFmt w:val="decimal"/>
      <w:lvlText w:val="%4."/>
      <w:lvlJc w:val="left"/>
      <w:pPr>
        <w:ind w:left="2880" w:hanging="360"/>
      </w:pPr>
      <w:rPr>
        <w:rFonts w:hint="default"/>
        <w:color w:val="04D976"/>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8" w15:restartNumberingAfterBreak="0">
    <w:nsid w:val="597C2F95"/>
    <w:multiLevelType w:val="hybridMultilevel"/>
    <w:tmpl w:val="52C4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9143E"/>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9B0864"/>
    <w:multiLevelType w:val="multilevel"/>
    <w:tmpl w:val="4AB454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44345E"/>
    <w:multiLevelType w:val="multilevel"/>
    <w:tmpl w:val="7FEA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42467"/>
    <w:multiLevelType w:val="hybridMultilevel"/>
    <w:tmpl w:val="8D6CF6AA"/>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16cid:durableId="1222255849">
    <w:abstractNumId w:val="7"/>
  </w:num>
  <w:num w:numId="2" w16cid:durableId="790629365">
    <w:abstractNumId w:val="2"/>
  </w:num>
  <w:num w:numId="3" w16cid:durableId="1120878806">
    <w:abstractNumId w:val="4"/>
  </w:num>
  <w:num w:numId="4" w16cid:durableId="343753919">
    <w:abstractNumId w:val="10"/>
  </w:num>
  <w:num w:numId="5" w16cid:durableId="215943170">
    <w:abstractNumId w:val="8"/>
  </w:num>
  <w:num w:numId="6" w16cid:durableId="1142387422">
    <w:abstractNumId w:val="9"/>
  </w:num>
  <w:num w:numId="7" w16cid:durableId="478423323">
    <w:abstractNumId w:val="5"/>
  </w:num>
  <w:num w:numId="8" w16cid:durableId="820002683">
    <w:abstractNumId w:val="0"/>
  </w:num>
  <w:num w:numId="9" w16cid:durableId="2096589370">
    <w:abstractNumId w:val="12"/>
  </w:num>
  <w:num w:numId="10" w16cid:durableId="2131388227">
    <w:abstractNumId w:val="6"/>
  </w:num>
  <w:num w:numId="11" w16cid:durableId="501552113">
    <w:abstractNumId w:val="11"/>
  </w:num>
  <w:num w:numId="12" w16cid:durableId="949509853">
    <w:abstractNumId w:val="1"/>
  </w:num>
  <w:num w:numId="13" w16cid:durableId="95244429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05"/>
    <w:rsid w:val="00001248"/>
    <w:rsid w:val="00001CA0"/>
    <w:rsid w:val="000044B3"/>
    <w:rsid w:val="00030B6B"/>
    <w:rsid w:val="000336AC"/>
    <w:rsid w:val="00040B75"/>
    <w:rsid w:val="000437C8"/>
    <w:rsid w:val="000823BE"/>
    <w:rsid w:val="00085E74"/>
    <w:rsid w:val="000B7250"/>
    <w:rsid w:val="000F7D7A"/>
    <w:rsid w:val="00107FD6"/>
    <w:rsid w:val="001144D1"/>
    <w:rsid w:val="0011735F"/>
    <w:rsid w:val="001454C6"/>
    <w:rsid w:val="00153791"/>
    <w:rsid w:val="00172246"/>
    <w:rsid w:val="00173017"/>
    <w:rsid w:val="00175101"/>
    <w:rsid w:val="00185AB4"/>
    <w:rsid w:val="00187057"/>
    <w:rsid w:val="0019528C"/>
    <w:rsid w:val="001C0445"/>
    <w:rsid w:val="001C4178"/>
    <w:rsid w:val="001D1964"/>
    <w:rsid w:val="001D7AC3"/>
    <w:rsid w:val="001E2634"/>
    <w:rsid w:val="002113D8"/>
    <w:rsid w:val="00212368"/>
    <w:rsid w:val="002179AC"/>
    <w:rsid w:val="002235F2"/>
    <w:rsid w:val="0023442A"/>
    <w:rsid w:val="00236347"/>
    <w:rsid w:val="00246ADF"/>
    <w:rsid w:val="0025147E"/>
    <w:rsid w:val="002A3DAB"/>
    <w:rsid w:val="002A5352"/>
    <w:rsid w:val="002D5047"/>
    <w:rsid w:val="002E3328"/>
    <w:rsid w:val="002F4074"/>
    <w:rsid w:val="002F6D74"/>
    <w:rsid w:val="0032613D"/>
    <w:rsid w:val="0033711A"/>
    <w:rsid w:val="00347D4A"/>
    <w:rsid w:val="003609D9"/>
    <w:rsid w:val="0036107C"/>
    <w:rsid w:val="00373460"/>
    <w:rsid w:val="00392E49"/>
    <w:rsid w:val="003C30F5"/>
    <w:rsid w:val="003D3CA0"/>
    <w:rsid w:val="00413127"/>
    <w:rsid w:val="0044539C"/>
    <w:rsid w:val="00487067"/>
    <w:rsid w:val="0049359E"/>
    <w:rsid w:val="0049449F"/>
    <w:rsid w:val="0049638D"/>
    <w:rsid w:val="004A2A6B"/>
    <w:rsid w:val="004C6015"/>
    <w:rsid w:val="004F240E"/>
    <w:rsid w:val="00522D28"/>
    <w:rsid w:val="005471D3"/>
    <w:rsid w:val="00570283"/>
    <w:rsid w:val="00570A1D"/>
    <w:rsid w:val="00570BA5"/>
    <w:rsid w:val="00575341"/>
    <w:rsid w:val="005818D2"/>
    <w:rsid w:val="0059050C"/>
    <w:rsid w:val="005E60F9"/>
    <w:rsid w:val="0060491E"/>
    <w:rsid w:val="00663FE4"/>
    <w:rsid w:val="0066540F"/>
    <w:rsid w:val="006762FC"/>
    <w:rsid w:val="00680447"/>
    <w:rsid w:val="00694540"/>
    <w:rsid w:val="006A66A0"/>
    <w:rsid w:val="006E41E7"/>
    <w:rsid w:val="006F3071"/>
    <w:rsid w:val="006F6FFB"/>
    <w:rsid w:val="007003B5"/>
    <w:rsid w:val="00704F81"/>
    <w:rsid w:val="007209BD"/>
    <w:rsid w:val="00745F54"/>
    <w:rsid w:val="007638CB"/>
    <w:rsid w:val="00773C0B"/>
    <w:rsid w:val="00784712"/>
    <w:rsid w:val="00784E85"/>
    <w:rsid w:val="00786016"/>
    <w:rsid w:val="007B2191"/>
    <w:rsid w:val="007C1863"/>
    <w:rsid w:val="00834797"/>
    <w:rsid w:val="00834E05"/>
    <w:rsid w:val="00835CBB"/>
    <w:rsid w:val="00846B9E"/>
    <w:rsid w:val="0085384B"/>
    <w:rsid w:val="00882992"/>
    <w:rsid w:val="008852FC"/>
    <w:rsid w:val="008907C1"/>
    <w:rsid w:val="00893DDA"/>
    <w:rsid w:val="008D1499"/>
    <w:rsid w:val="008E6BCD"/>
    <w:rsid w:val="008F1639"/>
    <w:rsid w:val="008F4617"/>
    <w:rsid w:val="00904EE0"/>
    <w:rsid w:val="00905E4D"/>
    <w:rsid w:val="0091205E"/>
    <w:rsid w:val="0091245B"/>
    <w:rsid w:val="00946FCF"/>
    <w:rsid w:val="009A0C98"/>
    <w:rsid w:val="009B5428"/>
    <w:rsid w:val="009D0F19"/>
    <w:rsid w:val="009D7008"/>
    <w:rsid w:val="009E0106"/>
    <w:rsid w:val="009E1B24"/>
    <w:rsid w:val="009E3DB0"/>
    <w:rsid w:val="009F66C3"/>
    <w:rsid w:val="00A1505A"/>
    <w:rsid w:val="00A4747B"/>
    <w:rsid w:val="00A54B5D"/>
    <w:rsid w:val="00A6073B"/>
    <w:rsid w:val="00A63E0C"/>
    <w:rsid w:val="00A83C05"/>
    <w:rsid w:val="00A8686B"/>
    <w:rsid w:val="00A9345E"/>
    <w:rsid w:val="00A958F5"/>
    <w:rsid w:val="00A97994"/>
    <w:rsid w:val="00A97B80"/>
    <w:rsid w:val="00AA211B"/>
    <w:rsid w:val="00AB314A"/>
    <w:rsid w:val="00AC5AC2"/>
    <w:rsid w:val="00AE2F82"/>
    <w:rsid w:val="00AE66CC"/>
    <w:rsid w:val="00AF1FD6"/>
    <w:rsid w:val="00B20B82"/>
    <w:rsid w:val="00B51A0E"/>
    <w:rsid w:val="00B57183"/>
    <w:rsid w:val="00B942DC"/>
    <w:rsid w:val="00BA1795"/>
    <w:rsid w:val="00BD4491"/>
    <w:rsid w:val="00BF10E3"/>
    <w:rsid w:val="00C06D62"/>
    <w:rsid w:val="00C1286A"/>
    <w:rsid w:val="00C22FBE"/>
    <w:rsid w:val="00C307D5"/>
    <w:rsid w:val="00C500D6"/>
    <w:rsid w:val="00C676D2"/>
    <w:rsid w:val="00C937AD"/>
    <w:rsid w:val="00CA4D6E"/>
    <w:rsid w:val="00CA6059"/>
    <w:rsid w:val="00CC1061"/>
    <w:rsid w:val="00CF7E37"/>
    <w:rsid w:val="00D02F34"/>
    <w:rsid w:val="00D157FF"/>
    <w:rsid w:val="00D2179E"/>
    <w:rsid w:val="00D3704B"/>
    <w:rsid w:val="00D462B3"/>
    <w:rsid w:val="00D516EA"/>
    <w:rsid w:val="00D552CC"/>
    <w:rsid w:val="00D619A7"/>
    <w:rsid w:val="00D70878"/>
    <w:rsid w:val="00D95DB0"/>
    <w:rsid w:val="00DB5E8D"/>
    <w:rsid w:val="00E101DC"/>
    <w:rsid w:val="00E121C4"/>
    <w:rsid w:val="00E134FC"/>
    <w:rsid w:val="00E16896"/>
    <w:rsid w:val="00E30C41"/>
    <w:rsid w:val="00E32742"/>
    <w:rsid w:val="00E447C7"/>
    <w:rsid w:val="00E50EF2"/>
    <w:rsid w:val="00E67ABE"/>
    <w:rsid w:val="00E72D21"/>
    <w:rsid w:val="00E84E6F"/>
    <w:rsid w:val="00EC5611"/>
    <w:rsid w:val="00ED0B2D"/>
    <w:rsid w:val="00EE0245"/>
    <w:rsid w:val="00EF1522"/>
    <w:rsid w:val="00F03FD5"/>
    <w:rsid w:val="00F04225"/>
    <w:rsid w:val="00F042C3"/>
    <w:rsid w:val="00F26FA0"/>
    <w:rsid w:val="00F4593C"/>
    <w:rsid w:val="00F47E02"/>
    <w:rsid w:val="00F67AFC"/>
    <w:rsid w:val="00F83167"/>
    <w:rsid w:val="00F868D8"/>
    <w:rsid w:val="00F961DA"/>
    <w:rsid w:val="00FC6648"/>
    <w:rsid w:val="00FD2184"/>
    <w:rsid w:val="00FF2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AEAD"/>
  <w15:chartTrackingRefBased/>
  <w15:docId w15:val="{41646144-AE4F-4D81-8E33-93721C54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FD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30C41"/>
    <w:pPr>
      <w:keepNext/>
      <w:keepLines/>
      <w:spacing w:before="360" w:line="360" w:lineRule="auto"/>
      <w:outlineLvl w:val="0"/>
    </w:pPr>
    <w:rPr>
      <w:rFonts w:ascii="Arial" w:eastAsiaTheme="majorEastAsia" w:hAnsi="Arial" w:cs="Arial"/>
      <w:b/>
      <w:color w:val="5103C0" w:themeColor="accent1"/>
      <w:sz w:val="32"/>
      <w:szCs w:val="28"/>
    </w:rPr>
  </w:style>
  <w:style w:type="paragraph" w:styleId="Heading2">
    <w:name w:val="heading 2"/>
    <w:basedOn w:val="Normal"/>
    <w:next w:val="Normal"/>
    <w:link w:val="Heading2Char"/>
    <w:uiPriority w:val="9"/>
    <w:unhideWhenUsed/>
    <w:qFormat/>
    <w:rsid w:val="00E30C41"/>
    <w:pPr>
      <w:keepNext/>
      <w:keepLines/>
      <w:spacing w:before="120" w:line="360" w:lineRule="auto"/>
      <w:outlineLvl w:val="1"/>
    </w:pPr>
    <w:rPr>
      <w:rFonts w:ascii="Arial" w:eastAsiaTheme="majorEastAsia" w:hAnsi="Arial" w:cs="Arial"/>
      <w:b/>
      <w:bCs/>
      <w:color w:val="5103C0" w:themeColor="accent1"/>
      <w:sz w:val="28"/>
      <w:szCs w:val="26"/>
    </w:rPr>
  </w:style>
  <w:style w:type="paragraph" w:styleId="Heading3">
    <w:name w:val="heading 3"/>
    <w:basedOn w:val="Normal"/>
    <w:next w:val="Normal"/>
    <w:link w:val="Heading3Char"/>
    <w:uiPriority w:val="9"/>
    <w:unhideWhenUsed/>
    <w:qFormat/>
    <w:rsid w:val="00E30C41"/>
    <w:pPr>
      <w:keepNext/>
      <w:keepLines/>
      <w:spacing w:before="100" w:after="100"/>
      <w:outlineLvl w:val="2"/>
    </w:pPr>
    <w:rPr>
      <w:rFonts w:ascii="Arial" w:eastAsiaTheme="majorEastAsia" w:hAnsi="Arial" w:cs="Arial"/>
      <w:b/>
      <w:bCs/>
      <w:color w:val="5103C0" w:themeColor="accent1"/>
    </w:rPr>
  </w:style>
  <w:style w:type="paragraph" w:styleId="Heading4">
    <w:name w:val="heading 4"/>
    <w:basedOn w:val="Normal"/>
    <w:next w:val="Normal"/>
    <w:link w:val="Heading4Char"/>
    <w:uiPriority w:val="9"/>
    <w:unhideWhenUsed/>
    <w:qFormat/>
    <w:rsid w:val="00570A1D"/>
    <w:pPr>
      <w:keepNext/>
      <w:keepLines/>
      <w:spacing w:before="100" w:after="100"/>
      <w:outlineLvl w:val="3"/>
    </w:pPr>
    <w:rPr>
      <w:rFonts w:ascii="Arial" w:eastAsiaTheme="majorEastAsia" w:hAnsi="Arial" w:cs="Arial"/>
      <w:b/>
      <w:bCs/>
      <w:color w:val="5103C0" w:themeColor="accent1"/>
    </w:rPr>
  </w:style>
  <w:style w:type="paragraph" w:styleId="Heading5">
    <w:name w:val="heading 5"/>
    <w:basedOn w:val="Normal"/>
    <w:next w:val="Normal"/>
    <w:link w:val="Heading5Char"/>
    <w:uiPriority w:val="9"/>
    <w:semiHidden/>
    <w:unhideWhenUsed/>
    <w:rsid w:val="002F4074"/>
    <w:pPr>
      <w:keepNext/>
      <w:keepLines/>
      <w:spacing w:before="20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2F4074"/>
    <w:pPr>
      <w:keepNext/>
      <w:keepLines/>
      <w:spacing w:before="20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2F4074"/>
    <w:pPr>
      <w:keepNext/>
      <w:keepLines/>
      <w:spacing w:before="200"/>
      <w:outlineLvl w:val="6"/>
    </w:pPr>
    <w:rPr>
      <w:rFonts w:asciiTheme="majorHAnsi" w:eastAsiaTheme="majorEastAsia" w:hAnsiTheme="majorHAnsi" w:cstheme="majorBidi"/>
      <w:i/>
      <w:iCs/>
      <w:color w:val="272459" w:themeColor="text2"/>
    </w:rPr>
  </w:style>
  <w:style w:type="paragraph" w:styleId="Heading8">
    <w:name w:val="heading 8"/>
    <w:basedOn w:val="Normal"/>
    <w:next w:val="Normal"/>
    <w:link w:val="Heading8Char"/>
    <w:uiPriority w:val="9"/>
    <w:semiHidden/>
    <w:unhideWhenUsed/>
    <w:qFormat/>
    <w:rsid w:val="002F4074"/>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2F4074"/>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016"/>
    <w:pPr>
      <w:tabs>
        <w:tab w:val="center" w:pos="4680"/>
        <w:tab w:val="right" w:pos="9360"/>
      </w:tabs>
    </w:pPr>
  </w:style>
  <w:style w:type="character" w:customStyle="1" w:styleId="HeaderChar">
    <w:name w:val="Header Char"/>
    <w:basedOn w:val="DefaultParagraphFont"/>
    <w:link w:val="Header"/>
    <w:uiPriority w:val="99"/>
    <w:rsid w:val="00786016"/>
  </w:style>
  <w:style w:type="paragraph" w:styleId="Footer">
    <w:name w:val="footer"/>
    <w:basedOn w:val="Normal"/>
    <w:link w:val="FooterChar"/>
    <w:uiPriority w:val="99"/>
    <w:unhideWhenUsed/>
    <w:rsid w:val="00786016"/>
    <w:pPr>
      <w:tabs>
        <w:tab w:val="center" w:pos="4680"/>
        <w:tab w:val="right" w:pos="9360"/>
      </w:tabs>
    </w:pPr>
  </w:style>
  <w:style w:type="character" w:customStyle="1" w:styleId="FooterChar">
    <w:name w:val="Footer Char"/>
    <w:basedOn w:val="DefaultParagraphFont"/>
    <w:link w:val="Footer"/>
    <w:uiPriority w:val="99"/>
    <w:rsid w:val="00786016"/>
  </w:style>
  <w:style w:type="paragraph" w:customStyle="1" w:styleId="Body">
    <w:name w:val="Body"/>
    <w:basedOn w:val="Normal"/>
    <w:next w:val="Normal"/>
    <w:qFormat/>
    <w:rsid w:val="0049359E"/>
    <w:rPr>
      <w:rFonts w:ascii="Arial" w:hAnsi="Arial"/>
      <w:szCs w:val="20"/>
    </w:rPr>
  </w:style>
  <w:style w:type="paragraph" w:customStyle="1" w:styleId="CompugenIncTitle">
    <w:name w:val="Compugen Inc. Title"/>
    <w:basedOn w:val="Title"/>
    <w:qFormat/>
    <w:rsid w:val="002F6D74"/>
    <w:pPr>
      <w:spacing w:line="360" w:lineRule="auto"/>
    </w:pPr>
    <w:rPr>
      <w:color w:val="5103C0" w:themeColor="accent1"/>
    </w:rPr>
  </w:style>
  <w:style w:type="paragraph" w:styleId="Title">
    <w:name w:val="Title"/>
    <w:aliases w:val="Report Title"/>
    <w:basedOn w:val="Normal"/>
    <w:next w:val="Normal"/>
    <w:link w:val="TitleChar"/>
    <w:uiPriority w:val="10"/>
    <w:qFormat/>
    <w:rsid w:val="008F1639"/>
    <w:pPr>
      <w:spacing w:after="120" w:line="480" w:lineRule="auto"/>
      <w:contextualSpacing/>
    </w:pPr>
    <w:rPr>
      <w:rFonts w:ascii="Arial" w:eastAsiaTheme="majorEastAsia" w:hAnsi="Arial" w:cs="Arial"/>
      <w:b/>
      <w:bCs/>
      <w:color w:val="04D976" w:themeColor="accent2"/>
      <w:spacing w:val="30"/>
      <w:kern w:val="28"/>
      <w:sz w:val="60"/>
      <w:szCs w:val="60"/>
      <w14:ligatures w14:val="standard"/>
      <w14:numForm w14:val="oldStyle"/>
    </w:rPr>
  </w:style>
  <w:style w:type="character" w:customStyle="1" w:styleId="TitleChar">
    <w:name w:val="Title Char"/>
    <w:aliases w:val="Report Title Char"/>
    <w:basedOn w:val="DefaultParagraphFont"/>
    <w:link w:val="Title"/>
    <w:uiPriority w:val="10"/>
    <w:rsid w:val="008F1639"/>
    <w:rPr>
      <w:rFonts w:ascii="Arial" w:eastAsiaTheme="majorEastAsia" w:hAnsi="Arial" w:cs="Arial"/>
      <w:b/>
      <w:bCs/>
      <w:color w:val="04D976" w:themeColor="accent2"/>
      <w:spacing w:val="30"/>
      <w:kern w:val="28"/>
      <w:sz w:val="60"/>
      <w:szCs w:val="60"/>
      <w14:ligatures w14:val="standard"/>
      <w14:numForm w14:val="oldStyle"/>
    </w:rPr>
  </w:style>
  <w:style w:type="paragraph" w:customStyle="1" w:styleId="CompugenIncSubtitle">
    <w:name w:val="Compugen Inc. Subtitle"/>
    <w:basedOn w:val="Body"/>
    <w:next w:val="Subtitle"/>
    <w:autoRedefine/>
    <w:qFormat/>
    <w:rsid w:val="002F6D74"/>
    <w:pPr>
      <w:spacing w:before="100"/>
    </w:pPr>
    <w:rPr>
      <w:rFonts w:cs="Arial"/>
      <w:b/>
      <w:color w:val="05DA76"/>
      <w:sz w:val="40"/>
      <w:szCs w:val="40"/>
    </w:rPr>
  </w:style>
  <w:style w:type="paragraph" w:styleId="Subtitle">
    <w:name w:val="Subtitle"/>
    <w:aliases w:val="Report Subtitle"/>
    <w:basedOn w:val="CompugenIncSubtitle"/>
    <w:next w:val="Normal"/>
    <w:link w:val="SubtitleChar"/>
    <w:uiPriority w:val="11"/>
    <w:qFormat/>
    <w:rsid w:val="008F1639"/>
    <w:rPr>
      <w:b w:val="0"/>
      <w:color w:val="FFFFFF" w:themeColor="background1"/>
    </w:rPr>
  </w:style>
  <w:style w:type="character" w:customStyle="1" w:styleId="SubtitleChar">
    <w:name w:val="Subtitle Char"/>
    <w:aliases w:val="Report Subtitle Char"/>
    <w:basedOn w:val="DefaultParagraphFont"/>
    <w:link w:val="Subtitle"/>
    <w:rsid w:val="008F1639"/>
    <w:rPr>
      <w:rFonts w:ascii="Arial" w:hAnsi="Arial" w:cs="Arial"/>
      <w:color w:val="FFFFFF" w:themeColor="background1"/>
      <w:sz w:val="40"/>
      <w:szCs w:val="40"/>
    </w:rPr>
  </w:style>
  <w:style w:type="paragraph" w:styleId="ListParagraph">
    <w:name w:val="List Paragraph"/>
    <w:basedOn w:val="Normal"/>
    <w:uiPriority w:val="34"/>
    <w:qFormat/>
    <w:rsid w:val="00E30C41"/>
    <w:pPr>
      <w:numPr>
        <w:numId w:val="1"/>
      </w:numPr>
      <w:spacing w:line="276" w:lineRule="auto"/>
      <w:contextualSpacing/>
    </w:pPr>
    <w:rPr>
      <w:rFonts w:ascii="Arial" w:hAnsi="Arial" w:cs="Arial"/>
      <w:color w:val="000000" w:themeColor="text1"/>
    </w:rPr>
  </w:style>
  <w:style w:type="character" w:customStyle="1" w:styleId="Heading1Char">
    <w:name w:val="Heading 1 Char"/>
    <w:basedOn w:val="DefaultParagraphFont"/>
    <w:link w:val="Heading1"/>
    <w:uiPriority w:val="9"/>
    <w:rsid w:val="00E30C41"/>
    <w:rPr>
      <w:rFonts w:ascii="Arial" w:eastAsiaTheme="majorEastAsia" w:hAnsi="Arial" w:cs="Arial"/>
      <w:b/>
      <w:color w:val="5103C0" w:themeColor="accent1"/>
      <w:sz w:val="32"/>
      <w:szCs w:val="28"/>
    </w:rPr>
  </w:style>
  <w:style w:type="character" w:customStyle="1" w:styleId="Heading2Char">
    <w:name w:val="Heading 2 Char"/>
    <w:basedOn w:val="DefaultParagraphFont"/>
    <w:link w:val="Heading2"/>
    <w:uiPriority w:val="9"/>
    <w:rsid w:val="00E30C41"/>
    <w:rPr>
      <w:rFonts w:ascii="Arial" w:eastAsiaTheme="majorEastAsia" w:hAnsi="Arial" w:cs="Arial"/>
      <w:b/>
      <w:bCs/>
      <w:color w:val="5103C0" w:themeColor="accent1"/>
      <w:sz w:val="28"/>
      <w:szCs w:val="26"/>
    </w:rPr>
  </w:style>
  <w:style w:type="character" w:customStyle="1" w:styleId="Heading3Char">
    <w:name w:val="Heading 3 Char"/>
    <w:basedOn w:val="DefaultParagraphFont"/>
    <w:link w:val="Heading3"/>
    <w:uiPriority w:val="9"/>
    <w:rsid w:val="00E30C41"/>
    <w:rPr>
      <w:rFonts w:ascii="Arial" w:eastAsiaTheme="majorEastAsia" w:hAnsi="Arial" w:cs="Arial"/>
      <w:b/>
      <w:bCs/>
      <w:color w:val="5103C0" w:themeColor="accent1"/>
      <w:sz w:val="24"/>
    </w:rPr>
  </w:style>
  <w:style w:type="paragraph" w:customStyle="1" w:styleId="PersonalName">
    <w:name w:val="Personal Name"/>
    <w:basedOn w:val="Title"/>
    <w:rsid w:val="002F4074"/>
    <w:rPr>
      <w:b w:val="0"/>
      <w:caps/>
      <w:color w:val="000000"/>
      <w:sz w:val="28"/>
      <w:szCs w:val="28"/>
    </w:rPr>
  </w:style>
  <w:style w:type="character" w:customStyle="1" w:styleId="Heading4Char">
    <w:name w:val="Heading 4 Char"/>
    <w:basedOn w:val="DefaultParagraphFont"/>
    <w:link w:val="Heading4"/>
    <w:uiPriority w:val="9"/>
    <w:rsid w:val="00570A1D"/>
    <w:rPr>
      <w:rFonts w:ascii="Arial" w:eastAsiaTheme="majorEastAsia" w:hAnsi="Arial" w:cs="Arial"/>
      <w:b/>
      <w:bCs/>
      <w:color w:val="5103C0" w:themeColor="accent1"/>
      <w:sz w:val="24"/>
      <w:szCs w:val="24"/>
    </w:rPr>
  </w:style>
  <w:style w:type="character" w:customStyle="1" w:styleId="Heading5Char">
    <w:name w:val="Heading 5 Char"/>
    <w:basedOn w:val="DefaultParagraphFont"/>
    <w:link w:val="Heading5"/>
    <w:uiPriority w:val="9"/>
    <w:semiHidden/>
    <w:rsid w:val="002F4074"/>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F4074"/>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2F4074"/>
    <w:rPr>
      <w:rFonts w:asciiTheme="majorHAnsi" w:eastAsiaTheme="majorEastAsia" w:hAnsiTheme="majorHAnsi" w:cstheme="majorBidi"/>
      <w:i/>
      <w:iCs/>
      <w:color w:val="272459" w:themeColor="text2"/>
    </w:rPr>
  </w:style>
  <w:style w:type="character" w:customStyle="1" w:styleId="Heading8Char">
    <w:name w:val="Heading 8 Char"/>
    <w:basedOn w:val="DefaultParagraphFont"/>
    <w:link w:val="Heading8"/>
    <w:uiPriority w:val="9"/>
    <w:semiHidden/>
    <w:rsid w:val="002F4074"/>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F4074"/>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2F4074"/>
    <w:rPr>
      <w:rFonts w:eastAsiaTheme="minorEastAsia"/>
      <w:b/>
      <w:bCs/>
      <w:smallCaps/>
      <w:color w:val="272459" w:themeColor="text2"/>
      <w:spacing w:val="6"/>
      <w:szCs w:val="18"/>
    </w:rPr>
  </w:style>
  <w:style w:type="character" w:styleId="Strong">
    <w:name w:val="Strong"/>
    <w:basedOn w:val="DefaultParagraphFont"/>
    <w:uiPriority w:val="22"/>
    <w:qFormat/>
    <w:rsid w:val="002F4074"/>
    <w:rPr>
      <w:b/>
      <w:bCs/>
      <w:color w:val="322F73" w:themeColor="text2" w:themeTint="E6"/>
    </w:rPr>
  </w:style>
  <w:style w:type="character" w:styleId="Emphasis">
    <w:name w:val="Emphasis"/>
    <w:uiPriority w:val="20"/>
    <w:qFormat/>
    <w:rsid w:val="00E30C41"/>
    <w:rPr>
      <w:b/>
      <w:bCs/>
      <w:color w:val="5103C0" w:themeColor="accent1"/>
    </w:rPr>
  </w:style>
  <w:style w:type="paragraph" w:styleId="NoSpacing">
    <w:name w:val="No Spacing"/>
    <w:link w:val="NoSpacingChar"/>
    <w:uiPriority w:val="1"/>
    <w:rsid w:val="002F4074"/>
    <w:pPr>
      <w:spacing w:after="0" w:line="240" w:lineRule="auto"/>
    </w:pPr>
  </w:style>
  <w:style w:type="character" w:customStyle="1" w:styleId="NoSpacingChar">
    <w:name w:val="No Spacing Char"/>
    <w:basedOn w:val="DefaultParagraphFont"/>
    <w:link w:val="NoSpacing"/>
    <w:uiPriority w:val="1"/>
    <w:rsid w:val="002F4074"/>
  </w:style>
  <w:style w:type="paragraph" w:styleId="Quote">
    <w:name w:val="Quote"/>
    <w:basedOn w:val="Normal"/>
    <w:next w:val="Normal"/>
    <w:link w:val="QuoteChar"/>
    <w:uiPriority w:val="29"/>
    <w:rsid w:val="002F4074"/>
    <w:pPr>
      <w:pBdr>
        <w:left w:val="single" w:sz="48" w:space="13" w:color="5103C0" w:themeColor="accent1"/>
      </w:pBdr>
      <w:spacing w:line="360" w:lineRule="auto"/>
    </w:pPr>
    <w:rPr>
      <w:rFonts w:asciiTheme="majorHAnsi" w:eastAsiaTheme="minorEastAsia" w:hAnsiTheme="majorHAnsi"/>
      <w:b/>
      <w:i/>
      <w:iCs/>
      <w:color w:val="5103C0" w:themeColor="accent1"/>
    </w:rPr>
  </w:style>
  <w:style w:type="character" w:customStyle="1" w:styleId="QuoteChar">
    <w:name w:val="Quote Char"/>
    <w:basedOn w:val="DefaultParagraphFont"/>
    <w:link w:val="Quote"/>
    <w:uiPriority w:val="29"/>
    <w:rsid w:val="002F4074"/>
    <w:rPr>
      <w:rFonts w:asciiTheme="majorHAnsi" w:eastAsiaTheme="minorEastAsia" w:hAnsiTheme="majorHAnsi"/>
      <w:b/>
      <w:i/>
      <w:iCs/>
      <w:color w:val="5103C0" w:themeColor="accent1"/>
      <w:sz w:val="24"/>
    </w:rPr>
  </w:style>
  <w:style w:type="paragraph" w:styleId="IntenseQuote">
    <w:name w:val="Intense Quote"/>
    <w:basedOn w:val="Normal"/>
    <w:next w:val="Normal"/>
    <w:link w:val="IntenseQuoteChar"/>
    <w:uiPriority w:val="30"/>
    <w:rsid w:val="002F4074"/>
    <w:pPr>
      <w:pBdr>
        <w:left w:val="single" w:sz="48" w:space="13" w:color="04D976" w:themeColor="accent2"/>
      </w:pBdr>
      <w:spacing w:before="240" w:after="120" w:line="300" w:lineRule="auto"/>
    </w:pPr>
    <w:rPr>
      <w:rFonts w:eastAsiaTheme="minorEastAsia"/>
      <w:b/>
      <w:bCs/>
      <w:i/>
      <w:iCs/>
      <w:color w:val="04D976" w:themeColor="accent2"/>
      <w:sz w:val="26"/>
      <w14:ligatures w14:val="standard"/>
      <w14:numForm w14:val="oldStyle"/>
    </w:rPr>
  </w:style>
  <w:style w:type="character" w:customStyle="1" w:styleId="IntenseQuoteChar">
    <w:name w:val="Intense Quote Char"/>
    <w:basedOn w:val="DefaultParagraphFont"/>
    <w:link w:val="IntenseQuote"/>
    <w:uiPriority w:val="30"/>
    <w:rsid w:val="002F4074"/>
    <w:rPr>
      <w:rFonts w:eastAsiaTheme="minorEastAsia"/>
      <w:b/>
      <w:bCs/>
      <w:i/>
      <w:iCs/>
      <w:color w:val="04D976" w:themeColor="accent2"/>
      <w:sz w:val="26"/>
      <w14:ligatures w14:val="standard"/>
      <w14:numForm w14:val="oldStyle"/>
    </w:rPr>
  </w:style>
  <w:style w:type="character" w:styleId="SubtleEmphasis">
    <w:name w:val="Subtle Emphasis"/>
    <w:uiPriority w:val="19"/>
    <w:qFormat/>
    <w:rsid w:val="00E30C41"/>
    <w:rPr>
      <w:i/>
      <w:iCs/>
      <w:color w:val="5103C0" w:themeColor="accent1"/>
    </w:rPr>
  </w:style>
  <w:style w:type="character" w:styleId="IntenseEmphasis">
    <w:name w:val="Intense Emphasis"/>
    <w:basedOn w:val="DefaultParagraphFont"/>
    <w:uiPriority w:val="21"/>
    <w:rsid w:val="002F4074"/>
    <w:rPr>
      <w:b/>
      <w:bCs/>
      <w:i/>
      <w:iCs/>
      <w:color w:val="272459" w:themeColor="text2"/>
    </w:rPr>
  </w:style>
  <w:style w:type="character" w:styleId="SubtleReference">
    <w:name w:val="Subtle Reference"/>
    <w:basedOn w:val="DefaultParagraphFont"/>
    <w:uiPriority w:val="31"/>
    <w:rsid w:val="002F4074"/>
    <w:rPr>
      <w:smallCaps/>
      <w:color w:val="000000"/>
      <w:u w:val="single"/>
    </w:rPr>
  </w:style>
  <w:style w:type="character" w:styleId="IntenseReference">
    <w:name w:val="Intense Reference"/>
    <w:basedOn w:val="DefaultParagraphFont"/>
    <w:uiPriority w:val="32"/>
    <w:rsid w:val="002F4074"/>
    <w:rPr>
      <w:rFonts w:asciiTheme="minorHAnsi" w:hAnsiTheme="minorHAnsi"/>
      <w:b/>
      <w:bCs/>
      <w:smallCaps/>
      <w:color w:val="272459" w:themeColor="text2"/>
      <w:spacing w:val="5"/>
      <w:sz w:val="22"/>
      <w:u w:val="single"/>
    </w:rPr>
  </w:style>
  <w:style w:type="character" w:styleId="BookTitle">
    <w:name w:val="Book Title"/>
    <w:basedOn w:val="DefaultParagraphFont"/>
    <w:uiPriority w:val="33"/>
    <w:rsid w:val="002F4074"/>
    <w:rPr>
      <w:rFonts w:asciiTheme="majorHAnsi" w:hAnsiTheme="majorHAnsi"/>
      <w:b/>
      <w:bCs/>
      <w:caps w:val="0"/>
      <w:smallCaps/>
      <w:color w:val="272459" w:themeColor="text2"/>
      <w:spacing w:val="10"/>
      <w:sz w:val="22"/>
    </w:rPr>
  </w:style>
  <w:style w:type="paragraph" w:styleId="TOCHeading">
    <w:name w:val="TOC Heading"/>
    <w:basedOn w:val="Heading1"/>
    <w:next w:val="Normal"/>
    <w:uiPriority w:val="39"/>
    <w:unhideWhenUsed/>
    <w:qFormat/>
    <w:rsid w:val="002F4074"/>
    <w:pPr>
      <w:spacing w:before="480" w:line="264" w:lineRule="auto"/>
      <w:outlineLvl w:val="9"/>
    </w:pPr>
    <w:rPr>
      <w:b w:val="0"/>
    </w:rPr>
  </w:style>
  <w:style w:type="table" w:styleId="TableGrid">
    <w:name w:val="Table Grid"/>
    <w:basedOn w:val="TableNormal"/>
    <w:uiPriority w:val="39"/>
    <w:rsid w:val="005E6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F6D74"/>
    <w:pPr>
      <w:spacing w:before="120"/>
    </w:pPr>
    <w:rPr>
      <w:rFonts w:ascii="Arial" w:hAnsi="Arial" w:cstheme="minorHAnsi"/>
      <w:b/>
      <w:bCs/>
      <w:i/>
      <w:iCs/>
      <w:color w:val="04D976" w:themeColor="accent2"/>
    </w:rPr>
  </w:style>
  <w:style w:type="paragraph" w:styleId="TOC2">
    <w:name w:val="toc 2"/>
    <w:basedOn w:val="Normal"/>
    <w:next w:val="Normal"/>
    <w:autoRedefine/>
    <w:uiPriority w:val="39"/>
    <w:unhideWhenUsed/>
    <w:rsid w:val="002F6D74"/>
    <w:pPr>
      <w:spacing w:before="120"/>
      <w:ind w:left="220"/>
    </w:pPr>
    <w:rPr>
      <w:rFonts w:ascii="Arial" w:hAnsi="Arial" w:cstheme="minorHAnsi"/>
      <w:b/>
      <w:bCs/>
      <w:color w:val="5103C0" w:themeColor="accent1"/>
    </w:rPr>
  </w:style>
  <w:style w:type="paragraph" w:styleId="TOC3">
    <w:name w:val="toc 3"/>
    <w:basedOn w:val="Normal"/>
    <w:next w:val="Normal"/>
    <w:autoRedefine/>
    <w:uiPriority w:val="39"/>
    <w:unhideWhenUsed/>
    <w:rsid w:val="002F6D74"/>
    <w:pPr>
      <w:ind w:left="440"/>
    </w:pPr>
    <w:rPr>
      <w:rFonts w:ascii="Arial" w:hAnsi="Arial" w:cstheme="minorHAnsi"/>
      <w:szCs w:val="20"/>
    </w:rPr>
  </w:style>
  <w:style w:type="character" w:styleId="Hyperlink">
    <w:name w:val="Hyperlink"/>
    <w:basedOn w:val="DefaultParagraphFont"/>
    <w:uiPriority w:val="99"/>
    <w:unhideWhenUsed/>
    <w:rsid w:val="00904EE0"/>
    <w:rPr>
      <w:color w:val="124CCD" w:themeColor="hyperlink"/>
      <w:u w:val="single"/>
    </w:rPr>
  </w:style>
  <w:style w:type="paragraph" w:styleId="TOC4">
    <w:name w:val="toc 4"/>
    <w:basedOn w:val="Normal"/>
    <w:next w:val="Normal"/>
    <w:autoRedefine/>
    <w:uiPriority w:val="39"/>
    <w:unhideWhenUsed/>
    <w:rsid w:val="002F6D74"/>
    <w:pPr>
      <w:ind w:left="660"/>
    </w:pPr>
    <w:rPr>
      <w:rFonts w:ascii="Arial" w:hAnsi="Arial" w:cstheme="minorHAnsi"/>
      <w:szCs w:val="20"/>
    </w:rPr>
  </w:style>
  <w:style w:type="paragraph" w:styleId="TOC5">
    <w:name w:val="toc 5"/>
    <w:basedOn w:val="Normal"/>
    <w:next w:val="Normal"/>
    <w:autoRedefine/>
    <w:uiPriority w:val="39"/>
    <w:unhideWhenUsed/>
    <w:rsid w:val="002F6D74"/>
    <w:pPr>
      <w:ind w:left="880"/>
    </w:pPr>
    <w:rPr>
      <w:rFonts w:ascii="Arial" w:hAnsi="Arial" w:cstheme="minorHAnsi"/>
      <w:szCs w:val="20"/>
    </w:rPr>
  </w:style>
  <w:style w:type="paragraph" w:styleId="TOC6">
    <w:name w:val="toc 6"/>
    <w:basedOn w:val="Normal"/>
    <w:next w:val="Normal"/>
    <w:autoRedefine/>
    <w:uiPriority w:val="39"/>
    <w:unhideWhenUsed/>
    <w:rsid w:val="00904EE0"/>
    <w:pPr>
      <w:ind w:left="1100"/>
    </w:pPr>
    <w:rPr>
      <w:rFonts w:cstheme="minorHAnsi"/>
      <w:sz w:val="20"/>
      <w:szCs w:val="20"/>
    </w:rPr>
  </w:style>
  <w:style w:type="paragraph" w:styleId="TOC7">
    <w:name w:val="toc 7"/>
    <w:basedOn w:val="Normal"/>
    <w:next w:val="Normal"/>
    <w:autoRedefine/>
    <w:uiPriority w:val="39"/>
    <w:semiHidden/>
    <w:unhideWhenUsed/>
    <w:rsid w:val="00904EE0"/>
    <w:pPr>
      <w:ind w:left="1320"/>
    </w:pPr>
    <w:rPr>
      <w:rFonts w:cstheme="minorHAnsi"/>
      <w:sz w:val="20"/>
      <w:szCs w:val="20"/>
    </w:rPr>
  </w:style>
  <w:style w:type="paragraph" w:styleId="TOC8">
    <w:name w:val="toc 8"/>
    <w:basedOn w:val="Normal"/>
    <w:next w:val="Normal"/>
    <w:autoRedefine/>
    <w:uiPriority w:val="39"/>
    <w:semiHidden/>
    <w:unhideWhenUsed/>
    <w:rsid w:val="00904EE0"/>
    <w:pPr>
      <w:ind w:left="1540"/>
    </w:pPr>
    <w:rPr>
      <w:rFonts w:cstheme="minorHAnsi"/>
      <w:sz w:val="20"/>
      <w:szCs w:val="20"/>
    </w:rPr>
  </w:style>
  <w:style w:type="paragraph" w:styleId="TOC9">
    <w:name w:val="toc 9"/>
    <w:basedOn w:val="Normal"/>
    <w:next w:val="Normal"/>
    <w:autoRedefine/>
    <w:uiPriority w:val="39"/>
    <w:semiHidden/>
    <w:unhideWhenUsed/>
    <w:rsid w:val="00904EE0"/>
    <w:pPr>
      <w:ind w:left="1760"/>
    </w:pPr>
    <w:rPr>
      <w:rFonts w:cstheme="minorHAnsi"/>
      <w:sz w:val="20"/>
      <w:szCs w:val="20"/>
    </w:rPr>
  </w:style>
  <w:style w:type="paragraph" w:styleId="NormalWeb">
    <w:name w:val="Normal (Web)"/>
    <w:basedOn w:val="Normal"/>
    <w:uiPriority w:val="99"/>
    <w:semiHidden/>
    <w:unhideWhenUsed/>
    <w:rsid w:val="00107FD6"/>
    <w:pPr>
      <w:spacing w:before="100" w:beforeAutospacing="1" w:after="100" w:afterAutospacing="1"/>
    </w:pPr>
  </w:style>
  <w:style w:type="paragraph" w:customStyle="1" w:styleId="Default">
    <w:name w:val="Default"/>
    <w:rsid w:val="00107FD6"/>
    <w:pPr>
      <w:autoSpaceDE w:val="0"/>
      <w:autoSpaceDN w:val="0"/>
      <w:adjustRightInd w:val="0"/>
      <w:spacing w:after="0" w:line="240" w:lineRule="auto"/>
    </w:pPr>
    <w:rPr>
      <w:rFonts w:ascii="Noto Sans" w:hAnsi="Noto Sans" w:cs="Noto Sans"/>
      <w:color w:val="000000"/>
      <w:sz w:val="24"/>
      <w:szCs w:val="24"/>
    </w:rPr>
  </w:style>
  <w:style w:type="character" w:styleId="UnresolvedMention">
    <w:name w:val="Unresolved Mention"/>
    <w:basedOn w:val="DefaultParagraphFont"/>
    <w:uiPriority w:val="99"/>
    <w:semiHidden/>
    <w:unhideWhenUsed/>
    <w:rsid w:val="00C93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48284">
      <w:bodyDiv w:val="1"/>
      <w:marLeft w:val="0"/>
      <w:marRight w:val="0"/>
      <w:marTop w:val="0"/>
      <w:marBottom w:val="0"/>
      <w:divBdr>
        <w:top w:val="none" w:sz="0" w:space="0" w:color="auto"/>
        <w:left w:val="none" w:sz="0" w:space="0" w:color="auto"/>
        <w:bottom w:val="none" w:sz="0" w:space="0" w:color="auto"/>
        <w:right w:val="none" w:sz="0" w:space="0" w:color="auto"/>
      </w:divBdr>
    </w:div>
    <w:div w:id="404307685">
      <w:bodyDiv w:val="1"/>
      <w:marLeft w:val="0"/>
      <w:marRight w:val="0"/>
      <w:marTop w:val="0"/>
      <w:marBottom w:val="0"/>
      <w:divBdr>
        <w:top w:val="none" w:sz="0" w:space="0" w:color="auto"/>
        <w:left w:val="none" w:sz="0" w:space="0" w:color="auto"/>
        <w:bottom w:val="none" w:sz="0" w:space="0" w:color="auto"/>
        <w:right w:val="none" w:sz="0" w:space="0" w:color="auto"/>
      </w:divBdr>
    </w:div>
    <w:div w:id="459803908">
      <w:bodyDiv w:val="1"/>
      <w:marLeft w:val="0"/>
      <w:marRight w:val="0"/>
      <w:marTop w:val="0"/>
      <w:marBottom w:val="0"/>
      <w:divBdr>
        <w:top w:val="none" w:sz="0" w:space="0" w:color="auto"/>
        <w:left w:val="none" w:sz="0" w:space="0" w:color="auto"/>
        <w:bottom w:val="none" w:sz="0" w:space="0" w:color="auto"/>
        <w:right w:val="none" w:sz="0" w:space="0" w:color="auto"/>
      </w:divBdr>
    </w:div>
    <w:div w:id="992293597">
      <w:bodyDiv w:val="1"/>
      <w:marLeft w:val="0"/>
      <w:marRight w:val="0"/>
      <w:marTop w:val="0"/>
      <w:marBottom w:val="0"/>
      <w:divBdr>
        <w:top w:val="none" w:sz="0" w:space="0" w:color="auto"/>
        <w:left w:val="none" w:sz="0" w:space="0" w:color="auto"/>
        <w:bottom w:val="none" w:sz="0" w:space="0" w:color="auto"/>
        <w:right w:val="none" w:sz="0" w:space="0" w:color="auto"/>
      </w:divBdr>
    </w:div>
    <w:div w:id="1262447706">
      <w:bodyDiv w:val="1"/>
      <w:marLeft w:val="0"/>
      <w:marRight w:val="0"/>
      <w:marTop w:val="0"/>
      <w:marBottom w:val="0"/>
      <w:divBdr>
        <w:top w:val="none" w:sz="0" w:space="0" w:color="auto"/>
        <w:left w:val="none" w:sz="0" w:space="0" w:color="auto"/>
        <w:bottom w:val="none" w:sz="0" w:space="0" w:color="auto"/>
        <w:right w:val="none" w:sz="0" w:space="0" w:color="auto"/>
      </w:divBdr>
    </w:div>
    <w:div w:id="1364554215">
      <w:bodyDiv w:val="1"/>
      <w:marLeft w:val="0"/>
      <w:marRight w:val="0"/>
      <w:marTop w:val="0"/>
      <w:marBottom w:val="0"/>
      <w:divBdr>
        <w:top w:val="none" w:sz="0" w:space="0" w:color="auto"/>
        <w:left w:val="none" w:sz="0" w:space="0" w:color="auto"/>
        <w:bottom w:val="none" w:sz="0" w:space="0" w:color="auto"/>
        <w:right w:val="none" w:sz="0" w:space="0" w:color="auto"/>
      </w:divBdr>
    </w:div>
    <w:div w:id="1584223009">
      <w:bodyDiv w:val="1"/>
      <w:marLeft w:val="0"/>
      <w:marRight w:val="0"/>
      <w:marTop w:val="0"/>
      <w:marBottom w:val="0"/>
      <w:divBdr>
        <w:top w:val="none" w:sz="0" w:space="0" w:color="auto"/>
        <w:left w:val="none" w:sz="0" w:space="0" w:color="auto"/>
        <w:bottom w:val="none" w:sz="0" w:space="0" w:color="auto"/>
        <w:right w:val="none" w:sz="0" w:space="0" w:color="auto"/>
      </w:divBdr>
    </w:div>
    <w:div w:id="1722708820">
      <w:bodyDiv w:val="1"/>
      <w:marLeft w:val="0"/>
      <w:marRight w:val="0"/>
      <w:marTop w:val="0"/>
      <w:marBottom w:val="0"/>
      <w:divBdr>
        <w:top w:val="none" w:sz="0" w:space="0" w:color="auto"/>
        <w:left w:val="none" w:sz="0" w:space="0" w:color="auto"/>
        <w:bottom w:val="none" w:sz="0" w:space="0" w:color="auto"/>
        <w:right w:val="none" w:sz="0" w:space="0" w:color="auto"/>
      </w:divBdr>
    </w:div>
    <w:div w:id="1777092465">
      <w:bodyDiv w:val="1"/>
      <w:marLeft w:val="0"/>
      <w:marRight w:val="0"/>
      <w:marTop w:val="0"/>
      <w:marBottom w:val="0"/>
      <w:divBdr>
        <w:top w:val="none" w:sz="0" w:space="0" w:color="auto"/>
        <w:left w:val="none" w:sz="0" w:space="0" w:color="auto"/>
        <w:bottom w:val="none" w:sz="0" w:space="0" w:color="auto"/>
        <w:right w:val="none" w:sz="0" w:space="0" w:color="auto"/>
      </w:divBdr>
    </w:div>
    <w:div w:id="1975869473">
      <w:bodyDiv w:val="1"/>
      <w:marLeft w:val="0"/>
      <w:marRight w:val="0"/>
      <w:marTop w:val="0"/>
      <w:marBottom w:val="0"/>
      <w:divBdr>
        <w:top w:val="none" w:sz="0" w:space="0" w:color="auto"/>
        <w:left w:val="none" w:sz="0" w:space="0" w:color="auto"/>
        <w:bottom w:val="none" w:sz="0" w:space="0" w:color="auto"/>
        <w:right w:val="none" w:sz="0" w:space="0" w:color="auto"/>
      </w:divBdr>
    </w:div>
    <w:div w:id="198443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c@compugen.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mpugen Inc 2023">
  <a:themeElements>
    <a:clrScheme name="Compugen Inc">
      <a:dk1>
        <a:srgbClr val="000000"/>
      </a:dk1>
      <a:lt1>
        <a:srgbClr val="FFFFFF"/>
      </a:lt1>
      <a:dk2>
        <a:srgbClr val="272459"/>
      </a:dk2>
      <a:lt2>
        <a:srgbClr val="E7E6E6"/>
      </a:lt2>
      <a:accent1>
        <a:srgbClr val="5103C0"/>
      </a:accent1>
      <a:accent2>
        <a:srgbClr val="04D976"/>
      </a:accent2>
      <a:accent3>
        <a:srgbClr val="0420B3"/>
      </a:accent3>
      <a:accent4>
        <a:srgbClr val="2F3B83"/>
      </a:accent4>
      <a:accent5>
        <a:srgbClr val="CCE8FF"/>
      </a:accent5>
      <a:accent6>
        <a:srgbClr val="04D976"/>
      </a:accent6>
      <a:hlink>
        <a:srgbClr val="124CCD"/>
      </a:hlink>
      <a:folHlink>
        <a:srgbClr val="5103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mpugen Inc 2023" id="{6E94A5B2-9851-EE47-A36B-FA21A63C5E80}" vid="{99E80C4E-D186-1B4C-B631-5B81C3F939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cf14450-dc0d-443c-b495-220be8247fc4" xsi:nil="true"/>
    <lcf76f155ced4ddcb4097134ff3c332f xmlns="0ee5ad4b-af71-439a-b72a-c7dd8db3790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CF0113A1813E41A8494820355A0EDC" ma:contentTypeVersion="14" ma:contentTypeDescription="Create a new document." ma:contentTypeScope="" ma:versionID="ecb24a6a073845b2ee1757090f8d1f25">
  <xsd:schema xmlns:xsd="http://www.w3.org/2001/XMLSchema" xmlns:xs="http://www.w3.org/2001/XMLSchema" xmlns:p="http://schemas.microsoft.com/office/2006/metadata/properties" xmlns:ns2="0ee5ad4b-af71-439a-b72a-c7dd8db37909" xmlns:ns3="ccf14450-dc0d-443c-b495-220be8247fc4" targetNamespace="http://schemas.microsoft.com/office/2006/metadata/properties" ma:root="true" ma:fieldsID="794ae5f206df626beb17d1cc26c6c34f" ns2:_="" ns3:_="">
    <xsd:import namespace="0ee5ad4b-af71-439a-b72a-c7dd8db37909"/>
    <xsd:import namespace="ccf14450-dc0d-443c-b495-220be8247fc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ad4b-af71-439a-b72a-c7dd8db3790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3b33ec-4c55-4e63-a613-a84bdefc27c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14450-dc0d-443c-b495-220be8247fc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3cd3af5-7e29-4f7c-88e6-0ef3787fa8b4}" ma:internalName="TaxCatchAll" ma:showField="CatchAllData" ma:web="ccf14450-dc0d-443c-b495-220be8247fc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A3641-486D-49B6-891C-659861842836}">
  <ds:schemaRefs>
    <ds:schemaRef ds:uri="http://schemas.microsoft.com/sharepoint/v3/contenttype/forms"/>
  </ds:schemaRefs>
</ds:datastoreItem>
</file>

<file path=customXml/itemProps2.xml><?xml version="1.0" encoding="utf-8"?>
<ds:datastoreItem xmlns:ds="http://schemas.openxmlformats.org/officeDocument/2006/customXml" ds:itemID="{003D9527-838B-834A-9797-7EAD43737C19}">
  <ds:schemaRefs>
    <ds:schemaRef ds:uri="http://schemas.openxmlformats.org/officeDocument/2006/bibliography"/>
  </ds:schemaRefs>
</ds:datastoreItem>
</file>

<file path=customXml/itemProps3.xml><?xml version="1.0" encoding="utf-8"?>
<ds:datastoreItem xmlns:ds="http://schemas.openxmlformats.org/officeDocument/2006/customXml" ds:itemID="{C6958F0B-FD1B-4749-A7D5-93498310A85B}">
  <ds:schemaRefs>
    <ds:schemaRef ds:uri="http://schemas.microsoft.com/office/2006/metadata/properties"/>
    <ds:schemaRef ds:uri="http://schemas.microsoft.com/office/infopath/2007/PartnerControls"/>
    <ds:schemaRef ds:uri="ccf14450-dc0d-443c-b495-220be8247fc4"/>
    <ds:schemaRef ds:uri="0ee5ad4b-af71-439a-b72a-c7dd8db37909"/>
  </ds:schemaRefs>
</ds:datastoreItem>
</file>

<file path=customXml/itemProps4.xml><?xml version="1.0" encoding="utf-8"?>
<ds:datastoreItem xmlns:ds="http://schemas.openxmlformats.org/officeDocument/2006/customXml" ds:itemID="{32ACD293-F5C3-4B4A-868F-965AD6323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ad4b-af71-439a-b72a-c7dd8db37909"/>
    <ds:schemaRef ds:uri="ccf14450-dc0d-443c-b495-220be8247f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6</Pages>
  <Words>1427</Words>
  <Characters>8992</Characters>
  <Application>Microsoft Office Word</Application>
  <DocSecurity>0</DocSecurity>
  <Lines>195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Neufeld</dc:creator>
  <cp:keywords/>
  <dc:description/>
  <cp:lastModifiedBy>Tony Chow</cp:lastModifiedBy>
  <cp:revision>9</cp:revision>
  <cp:lastPrinted>2025-05-23T18:14:00Z</cp:lastPrinted>
  <dcterms:created xsi:type="dcterms:W3CDTF">2026-05-28T04:47:00Z</dcterms:created>
  <dcterms:modified xsi:type="dcterms:W3CDTF">2026-05-28T21:25:00Z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0x0101007DCF0113A1813E41A8494820355A0EDC</vt:lpwstr>
  </property>
  <property fmtid="{D5CDD505-2E9C-101B-9397-08002B2CF9AE}" pid="3" name="MediaServiceImageTags">
    <vt:lpwstr/>
  </property>
  <property fmtid="{D5CDD505-2E9C-101B-9397-08002B2CF9AE}" pid="4" name="MSIP_Label_f14931d0-4f21-4bc0-ab88-228d402d4a5c_Enabled">
    <vt:lpwstr>true</vt:lpwstr>
  </property>
  <property fmtid="{D5CDD505-2E9C-101B-9397-08002B2CF9AE}" pid="5" name="MSIP_Label_f14931d0-4f21-4bc0-ab88-228d402d4a5c_SetDate">
    <vt:lpwstr>2026-05-25T22:28:17Z</vt:lpwstr>
  </property>
  <property fmtid="{D5CDD505-2E9C-101B-9397-08002B2CF9AE}" pid="6" name="MSIP_Label_f14931d0-4f21-4bc0-ab88-228d402d4a5c_Method">
    <vt:lpwstr>Standard</vt:lpwstr>
  </property>
  <property fmtid="{D5CDD505-2E9C-101B-9397-08002B2CF9AE}" pid="7" name="MSIP_Label_f14931d0-4f21-4bc0-ab88-228d402d4a5c_Name">
    <vt:lpwstr>General</vt:lpwstr>
  </property>
  <property fmtid="{D5CDD505-2E9C-101B-9397-08002B2CF9AE}" pid="8" name="MSIP_Label_f14931d0-4f21-4bc0-ab88-228d402d4a5c_SiteId">
    <vt:lpwstr>7d270c48-208d-49f0-ade1-e658c4ef4f18</vt:lpwstr>
  </property>
  <property fmtid="{D5CDD505-2E9C-101B-9397-08002B2CF9AE}" pid="9" name="MSIP_Label_f14931d0-4f21-4bc0-ab88-228d402d4a5c_ActionId">
    <vt:lpwstr>60707a8c-688d-4459-981e-0bbae51e506e</vt:lpwstr>
  </property>
  <property fmtid="{D5CDD505-2E9C-101B-9397-08002B2CF9AE}" pid="10" name="MSIP_Label_f14931d0-4f21-4bc0-ab88-228d402d4a5c_ContentBits">
    <vt:lpwstr>0</vt:lpwstr>
  </property>
  <property fmtid="{D5CDD505-2E9C-101B-9397-08002B2CF9AE}" pid="11" name="MSIP_Label_f14931d0-4f21-4bc0-ab88-228d402d4a5c_Tag">
    <vt:lpwstr>10, 3, 0, 1</vt:lpwstr>
  </property>
</Properties>
</file>